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headerReference w:type="default" r:id="rId1"/>
          <w:footerReference w:type="default" r:id="rId2"/>
          <w:pgSz w:w="11905" w:h="16834"/>
          <w:pgMar w:top="1" w:right="0" w:bottom="1" w:left="0" w:header="0" w:footer="0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100" w:line="224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0"/>
        </w:rPr>
        <w:t xml:space="preserve"> </w:t>
      </w:r>
      <w:r>
        <w:rPr>
          <w:sz w:val="31"/>
          <w:szCs w:val="31"/>
          <w:b/>
          <w:bCs/>
          <w:spacing w:val="3"/>
        </w:rPr>
        <w:t>．产品碳足迹（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PCF</w:t>
      </w:r>
      <w:r>
        <w:rPr>
          <w:sz w:val="31"/>
          <w:szCs w:val="31"/>
          <w:b/>
          <w:bCs/>
          <w:spacing w:val="3"/>
        </w:rPr>
        <w:t>）介绍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26" w:firstLine="556"/>
        <w:spacing w:before="91" w:line="402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近年来，温室效应、气侯变化已成为全球关注的焦点，“碳足迹</w:t>
      </w:r>
      <w:r>
        <w:rPr>
          <w:spacing w:val="-100"/>
        </w:rPr>
        <w:t xml:space="preserve"> </w:t>
      </w:r>
      <w:r>
        <w:rPr>
          <w:spacing w:val="-5"/>
        </w:rPr>
        <w:t>”</w:t>
      </w:r>
      <w:r>
        <w:rPr/>
        <w:t xml:space="preserve"> </w:t>
      </w:r>
      <w:r>
        <w:rPr>
          <w:spacing w:val="-4"/>
        </w:rPr>
        <w:t>这个新的术语越来越广泛地为全世界所使用。碳足迹通常分为项目层</w:t>
      </w:r>
      <w:r>
        <w:rPr>
          <w:spacing w:val="4"/>
        </w:rPr>
        <w:t xml:space="preserve">   </w:t>
      </w:r>
      <w:r>
        <w:rPr>
          <w:spacing w:val="-3"/>
        </w:rPr>
        <w:t>面、组织层面、产品层面这三个层面。产品碳足迹（</w:t>
      </w:r>
      <w:r>
        <w:rPr>
          <w:rFonts w:ascii="Times New Roman" w:hAnsi="Times New Roman" w:eastAsia="Times New Roman" w:cs="Times New Roman"/>
          <w:spacing w:val="-3"/>
        </w:rPr>
        <w:t>Product</w:t>
      </w:r>
      <w:r>
        <w:rPr>
          <w:rFonts w:ascii="Times New Roman" w:hAnsi="Times New Roman" w:eastAsia="Times New Roman" w:cs="Times New Roman"/>
          <w:spacing w:val="-4"/>
        </w:rPr>
        <w:t xml:space="preserve">  Carbon</w:t>
      </w:r>
    </w:p>
    <w:p>
      <w:pPr>
        <w:pStyle w:val="BodyText"/>
        <w:ind w:left="18" w:right="248"/>
        <w:spacing w:before="38" w:line="408" w:lineRule="auto"/>
        <w:rPr/>
      </w:pPr>
      <w:r>
        <w:rPr>
          <w:rFonts w:ascii="Times New Roman" w:hAnsi="Times New Roman" w:eastAsia="Times New Roman" w:cs="Times New Roman"/>
        </w:rPr>
        <w:t>Footprint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PCF</w:t>
      </w:r>
      <w:r>
        <w:rPr/>
        <w:t>）是指衡量某个产品在其生命周期各阶段的温室气体 </w:t>
      </w:r>
      <w:r>
        <w:rPr>
          <w:spacing w:val="-3"/>
        </w:rPr>
        <w:t>排放量总和，即从原材料开采、产品生产（或</w:t>
      </w:r>
      <w:r>
        <w:rPr>
          <w:spacing w:val="-4"/>
        </w:rPr>
        <w:t>提供服务）、分销、使</w:t>
      </w:r>
      <w:r>
        <w:rPr/>
        <w:t xml:space="preserve"> </w:t>
      </w:r>
      <w:r>
        <w:rPr>
          <w:spacing w:val="-3"/>
        </w:rPr>
        <w:t>用到最终处置／再生利用等多个阶段的各种温</w:t>
      </w:r>
      <w:r>
        <w:rPr>
          <w:spacing w:val="-4"/>
        </w:rPr>
        <w:t>室气体排放的累加。温</w:t>
      </w:r>
      <w:r>
        <w:rPr/>
        <w:t xml:space="preserve"> </w:t>
      </w:r>
      <w:r>
        <w:rPr>
          <w:spacing w:val="1"/>
        </w:rPr>
        <w:t>室体包括一氧化碳（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1"/>
          <w:position w:val="-1"/>
        </w:rPr>
        <w:t>2 </w:t>
      </w:r>
      <w:r>
        <w:rPr>
          <w:spacing w:val="1"/>
        </w:rPr>
        <w:t>）、甲烷（</w:t>
      </w:r>
      <w:r>
        <w:rPr>
          <w:rFonts w:ascii="Times New Roman" w:hAnsi="Times New Roman" w:eastAsia="Times New Roman" w:cs="Times New Roman"/>
        </w:rPr>
        <w:t>CH</w:t>
      </w:r>
      <w:r>
        <w:rPr>
          <w:rFonts w:ascii="Times New Roman" w:hAnsi="Times New Roman" w:eastAsia="Times New Roman" w:cs="Times New Roman"/>
          <w:sz w:val="18"/>
          <w:szCs w:val="18"/>
          <w:spacing w:val="1"/>
          <w:position w:val="-1"/>
        </w:rPr>
        <w:t>4 </w:t>
      </w:r>
      <w:r>
        <w:rPr>
          <w:spacing w:val="1"/>
        </w:rPr>
        <w:t>）、氧化亚氮（</w:t>
      </w:r>
      <w:r>
        <w:rPr>
          <w:rFonts w:ascii="Times New Roman" w:hAnsi="Times New Roman" w:eastAsia="Times New Roman" w:cs="Times New Roman"/>
          <w:spacing w:val="1"/>
        </w:rPr>
        <w:t>N</w:t>
      </w:r>
      <w:r>
        <w:rPr>
          <w:rFonts w:ascii="Times New Roman" w:hAnsi="Times New Roman" w:eastAsia="Times New Roman" w:cs="Times New Roman"/>
          <w:sz w:val="18"/>
          <w:szCs w:val="18"/>
          <w:spacing w:val="1"/>
          <w:position w:val="-1"/>
        </w:rPr>
        <w:t>2</w:t>
      </w:r>
      <w:r>
        <w:rPr>
          <w:rFonts w:ascii="Times New Roman" w:hAnsi="Times New Roman" w:eastAsia="Times New Roman" w:cs="Times New Roman"/>
          <w:spacing w:val="1"/>
        </w:rPr>
        <w:t>O</w:t>
      </w:r>
      <w:r>
        <w:rPr>
          <w:spacing w:val="1"/>
        </w:rPr>
        <w:t>）、氢</w:t>
      </w:r>
      <w:r>
        <w:rPr>
          <w:spacing w:val="5"/>
        </w:rPr>
        <w:t xml:space="preserve"> </w:t>
      </w:r>
      <w:r>
        <w:rPr>
          <w:spacing w:val="1"/>
        </w:rPr>
        <w:t>氟碳化物（</w:t>
      </w:r>
      <w:r>
        <w:rPr>
          <w:rFonts w:ascii="Times New Roman" w:hAnsi="Times New Roman" w:eastAsia="Times New Roman" w:cs="Times New Roman"/>
        </w:rPr>
        <w:t>HFO</w:t>
      </w:r>
      <w:r>
        <w:rPr>
          <w:spacing w:val="1"/>
        </w:rPr>
        <w:t>）、全氟化碳（</w:t>
      </w:r>
      <w:r>
        <w:rPr>
          <w:rFonts w:ascii="Times New Roman" w:hAnsi="Times New Roman" w:eastAsia="Times New Roman" w:cs="Times New Roman"/>
        </w:rPr>
        <w:t>PFC</w:t>
      </w:r>
      <w:r>
        <w:rPr>
          <w:spacing w:val="1"/>
        </w:rPr>
        <w:t>）和三氟化氮（</w:t>
      </w:r>
      <w:r>
        <w:rPr>
          <w:rFonts w:ascii="Times New Roman" w:hAnsi="Times New Roman" w:eastAsia="Times New Roman" w:cs="Times New Roman"/>
        </w:rPr>
        <w:t>NF</w:t>
      </w:r>
      <w:r>
        <w:rPr>
          <w:rFonts w:ascii="Times New Roman" w:hAnsi="Times New Roman" w:eastAsia="Times New Roman" w:cs="Times New Roman"/>
          <w:sz w:val="18"/>
          <w:szCs w:val="18"/>
          <w:spacing w:val="1"/>
          <w:position w:val="-1"/>
        </w:rPr>
        <w:t>3 </w:t>
      </w:r>
      <w:r>
        <w:rPr>
          <w:spacing w:val="1"/>
        </w:rPr>
        <w:t>）等。产品</w:t>
      </w:r>
      <w:r>
        <w:rPr>
          <w:spacing w:val="3"/>
        </w:rPr>
        <w:t xml:space="preserve"> </w:t>
      </w:r>
      <w:r>
        <w:rPr>
          <w:spacing w:val="-2"/>
        </w:rPr>
        <w:t>碳足迹的计算结果为产品生命周期各种温室气体</w:t>
      </w:r>
      <w:r>
        <w:rPr>
          <w:spacing w:val="-3"/>
        </w:rPr>
        <w:t>排放量的加权之和，</w:t>
      </w:r>
      <w:r>
        <w:rPr/>
        <w:t xml:space="preserve"> </w:t>
      </w:r>
      <w:r>
        <w:rPr>
          <w:spacing w:val="-2"/>
        </w:rPr>
        <w:t>用二氧化碳当量（</w:t>
      </w:r>
      <w:r>
        <w:rPr>
          <w:rFonts w:ascii="Times New Roman" w:hAnsi="Times New Roman" w:eastAsia="Times New Roman" w:cs="Times New Roman"/>
          <w:spacing w:val="-2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spacing w:val="-2"/>
        </w:rPr>
        <w:t>）表示、单位为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kgCO</w: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</w:t>
      </w:r>
      <w:r>
        <w:rPr>
          <w:rFonts w:ascii="Times New Roman" w:hAnsi="Times New Roman" w:eastAsia="Times New Roman" w:cs="Times New Roman"/>
          <w:spacing w:val="-2"/>
        </w:rPr>
        <w:t>e </w:t>
      </w:r>
      <w:r>
        <w:rPr>
          <w:spacing w:val="-2"/>
        </w:rPr>
        <w:t>或者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gCO</w:t>
      </w:r>
      <w:r>
        <w:rPr>
          <w:rFonts w:ascii="Times New Roman" w:hAnsi="Times New Roman" w:eastAsia="Times New Roman" w:cs="Times New Roman"/>
          <w:sz w:val="18"/>
          <w:szCs w:val="18"/>
          <w:spacing w:val="-2"/>
        </w:rPr>
        <w:t>2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。全球变</w:t>
      </w:r>
      <w:r>
        <w:rPr/>
        <w:t xml:space="preserve"> </w:t>
      </w:r>
      <w:r>
        <w:rPr>
          <w:spacing w:val="-1"/>
        </w:rPr>
        <w:t>暖潜值（</w:t>
      </w:r>
      <w:r>
        <w:rPr>
          <w:rFonts w:ascii="Times New Roman" w:hAnsi="Times New Roman" w:eastAsia="Times New Roman" w:cs="Times New Roman"/>
          <w:spacing w:val="-1"/>
        </w:rPr>
        <w:t>Global  Warming  Potenti</w:t>
      </w:r>
      <w:r>
        <w:rPr>
          <w:rFonts w:ascii="Times New Roman" w:hAnsi="Times New Roman" w:eastAsia="Times New Roman" w:cs="Times New Roman"/>
          <w:spacing w:val="-2"/>
        </w:rPr>
        <w:t>al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．向称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GWP</w:t>
      </w:r>
      <w:r>
        <w:rPr>
          <w:spacing w:val="19"/>
        </w:rPr>
        <w:t>），</w:t>
      </w:r>
      <w:r>
        <w:rPr>
          <w:spacing w:val="-2"/>
        </w:rPr>
        <w:t>即各种温室气体</w:t>
      </w:r>
      <w:r>
        <w:rPr/>
        <w:t xml:space="preserve"> </w:t>
      </w:r>
      <w:r>
        <w:rPr>
          <w:spacing w:val="3"/>
        </w:rPr>
        <w:t>的二氧化碳当量值，通常采用联合国政府间气候变化专家委员</w:t>
      </w:r>
      <w:r>
        <w:rPr>
          <w:spacing w:val="2"/>
        </w:rPr>
        <w:t>会（</w:t>
      </w:r>
      <w:r>
        <w:rPr>
          <w:rFonts w:ascii="Times New Roman" w:hAnsi="Times New Roman" w:eastAsia="Times New Roman" w:cs="Times New Roman"/>
          <w:spacing w:val="2"/>
        </w:rPr>
        <w:t>I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PCC</w:t>
      </w:r>
      <w:r>
        <w:rPr>
          <w:spacing w:val="-3"/>
        </w:rPr>
        <w:t>）提供的值，</w:t>
      </w:r>
      <w:r>
        <w:rPr>
          <w:spacing w:val="-70"/>
        </w:rPr>
        <w:t xml:space="preserve"> </w:t>
      </w:r>
      <w:r>
        <w:rPr>
          <w:spacing w:val="-3"/>
        </w:rPr>
        <w:t>目前这套因子被全球范围广泛使用。</w:t>
      </w:r>
    </w:p>
    <w:p>
      <w:pPr>
        <w:pStyle w:val="BodyText"/>
        <w:ind w:left="25" w:right="279" w:firstLine="559"/>
        <w:spacing w:before="53" w:line="405" w:lineRule="auto"/>
        <w:rPr/>
      </w:pPr>
      <w:r>
        <w:rPr>
          <w:spacing w:val="-4"/>
        </w:rPr>
        <w:t>产品碳足迹计算只包含一个完整生命周期评估（</w:t>
      </w:r>
      <w:r>
        <w:rPr>
          <w:rFonts w:ascii="Times New Roman" w:hAnsi="Times New Roman" w:eastAsia="Times New Roman" w:cs="Times New Roman"/>
          <w:spacing w:val="-4"/>
        </w:rPr>
        <w:t>LCA</w:t>
      </w:r>
      <w:r>
        <w:rPr>
          <w:spacing w:val="-4"/>
        </w:rPr>
        <w:t>）的温室气</w:t>
      </w:r>
      <w:r>
        <w:rPr>
          <w:spacing w:val="11"/>
        </w:rPr>
        <w:t xml:space="preserve"> </w:t>
      </w:r>
      <w:r>
        <w:rPr/>
        <w:t>体的部分。基于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LCA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/>
        <w:t>的评价方法，国际上</w:t>
      </w:r>
      <w:r>
        <w:rPr>
          <w:spacing w:val="-1"/>
        </w:rPr>
        <w:t>已建立起多种碳足迹评估</w:t>
      </w:r>
      <w:r>
        <w:rPr/>
        <w:t xml:space="preserve"> </w:t>
      </w:r>
      <w:r>
        <w:rPr>
          <w:spacing w:val="-4"/>
        </w:rPr>
        <w:t>指南和要求，用于产品碳足迹认证，目前广泛使用的碳足迹评估标准</w:t>
      </w:r>
      <w:r>
        <w:rPr>
          <w:spacing w:val="14"/>
        </w:rPr>
        <w:t xml:space="preserve"> </w:t>
      </w:r>
      <w:r>
        <w:rPr>
          <w:spacing w:val="-3"/>
        </w:rPr>
        <w:t>有三种：</w:t>
      </w:r>
    </w:p>
    <w:p>
      <w:pPr>
        <w:pStyle w:val="BodyText"/>
        <w:ind w:left="15" w:right="279" w:firstLine="576"/>
        <w:spacing w:before="41" w:line="402" w:lineRule="auto"/>
        <w:jc w:val="both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）《</w:t>
      </w:r>
      <w:r>
        <w:rPr>
          <w:rFonts w:ascii="Times New Roman" w:hAnsi="Times New Roman" w:eastAsia="Times New Roman" w:cs="Times New Roman"/>
        </w:rPr>
        <w:t>PAS2050</w:t>
      </w:r>
      <w:r>
        <w:rPr/>
        <w:t>：</w:t>
      </w:r>
      <w:r>
        <w:rPr>
          <w:rFonts w:ascii="Times New Roman" w:hAnsi="Times New Roman" w:eastAsia="Times New Roman" w:cs="Times New Roman"/>
        </w:rPr>
        <w:t>2011 </w:t>
      </w:r>
      <w:r>
        <w:rPr/>
        <w:t>商品和服务在生命周期内的温室气体排</w:t>
      </w:r>
      <w:r>
        <w:rPr>
          <w:spacing w:val="3"/>
        </w:rPr>
        <w:t xml:space="preserve"> </w:t>
      </w:r>
      <w:r>
        <w:rPr/>
        <w:t>放评价规范》，此标准是由英国标准协会（</w:t>
      </w:r>
      <w:r>
        <w:rPr>
          <w:rFonts w:ascii="Times New Roman" w:hAnsi="Times New Roman" w:eastAsia="Times New Roman" w:cs="Times New Roman"/>
        </w:rPr>
        <w:t>BSI</w:t>
      </w:r>
      <w:r>
        <w:rPr/>
        <w:t>）与碳信托公</w:t>
      </w:r>
      <w:r>
        <w:rPr>
          <w:spacing w:val="-1"/>
        </w:rPr>
        <w:t>司（</w:t>
      </w:r>
      <w:r>
        <w:rPr>
          <w:rFonts w:ascii="Times New Roman" w:hAnsi="Times New Roman" w:eastAsia="Times New Roman" w:cs="Times New Roman"/>
          <w:spacing w:val="-1"/>
        </w:rPr>
        <w:t>Ca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rbon  Trust</w:t>
      </w:r>
      <w:r>
        <w:rPr/>
        <w:t>）、英国食品和乡村事</w:t>
      </w:r>
      <w:r>
        <w:rPr>
          <w:spacing w:val="-1"/>
        </w:rPr>
        <w:t>务部（</w:t>
      </w:r>
      <w:r>
        <w:rPr>
          <w:rFonts w:ascii="Times New Roman" w:hAnsi="Times New Roman" w:eastAsia="Times New Roman" w:cs="Times New Roman"/>
          <w:spacing w:val="-1"/>
        </w:rPr>
        <w:t>Defra</w:t>
      </w:r>
      <w:r>
        <w:rPr>
          <w:spacing w:val="-1"/>
        </w:rPr>
        <w:t>）联合发布，是国际上</w:t>
      </w:r>
    </w:p>
    <w:p>
      <w:pPr>
        <w:spacing w:line="402" w:lineRule="auto"/>
        <w:sectPr>
          <w:footerReference w:type="default" r:id="rId4"/>
          <w:pgSz w:w="11906" w:h="16839"/>
          <w:pgMar w:top="400" w:right="1520" w:bottom="1176" w:left="1785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3" w:right="215" w:firstLine="4"/>
        <w:spacing w:before="91" w:line="397" w:lineRule="auto"/>
        <w:rPr/>
      </w:pPr>
      <w:r>
        <w:rPr>
          <w:spacing w:val="-4"/>
        </w:rPr>
        <w:t>最早的、具有具体计算方法的标准，也是目前使用较多的产品碳足迹</w:t>
      </w:r>
      <w:r>
        <w:rPr>
          <w:spacing w:val="11"/>
        </w:rPr>
        <w:t xml:space="preserve"> </w:t>
      </w:r>
      <w:r>
        <w:rPr>
          <w:spacing w:val="-2"/>
        </w:rPr>
        <w:t>评价标准。</w:t>
      </w:r>
    </w:p>
    <w:p>
      <w:pPr>
        <w:pStyle w:val="BodyText"/>
        <w:ind w:left="22" w:right="186" w:firstLine="569"/>
        <w:spacing w:before="45" w:line="361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）《温室气体核算体系：产品寿命周期核算与报告标准》，</w:t>
      </w:r>
      <w:r>
        <w:rPr/>
        <w:t xml:space="preserve"> </w:t>
      </w:r>
      <w:r>
        <w:rPr>
          <w:spacing w:val="-2"/>
        </w:rPr>
        <w:t>此标准是由世界资源研究所（</w:t>
      </w:r>
      <w:r>
        <w:rPr>
          <w:rFonts w:ascii="Times New Roman" w:hAnsi="Times New Roman" w:eastAsia="Times New Roman" w:cs="Times New Roman"/>
          <w:spacing w:val="-2"/>
        </w:rPr>
        <w:t>World  Resources  Institute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，简称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VRI</w:t>
      </w:r>
      <w:r>
        <w:rPr>
          <w:spacing w:val="-2"/>
        </w:rPr>
        <w:t>）</w:t>
      </w:r>
      <w:r>
        <w:rPr/>
        <w:t xml:space="preserve"> </w:t>
      </w:r>
      <w:r>
        <w:rPr>
          <w:spacing w:val="-1"/>
        </w:rPr>
        <w:t>和世界可持续发展工商理事会（</w:t>
      </w:r>
      <w:r>
        <w:rPr>
          <w:rFonts w:ascii="Times New Roman" w:hAnsi="Times New Roman" w:eastAsia="Times New Roman" w:cs="Times New Roman"/>
          <w:spacing w:val="-1"/>
        </w:rPr>
        <w:t>World  Business  Councilfor  Sustai</w:t>
      </w:r>
      <w:r>
        <w:rPr>
          <w:rFonts w:ascii="Times New Roman" w:hAnsi="Times New Roman" w:eastAsia="Times New Roman" w:cs="Times New Roman"/>
          <w:spacing w:val="-2"/>
        </w:rPr>
        <w:t>nab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le  Development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，简称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WBCSD</w:t>
      </w:r>
      <w:r>
        <w:rPr>
          <w:spacing w:val="-1"/>
        </w:rPr>
        <w:t>）发布</w:t>
      </w:r>
      <w:r>
        <w:rPr>
          <w:spacing w:val="-2"/>
        </w:rPr>
        <w:t>的产品和供应链标准。</w:t>
      </w:r>
    </w:p>
    <w:p>
      <w:pPr>
        <w:pStyle w:val="BodyText"/>
        <w:ind w:left="27" w:right="215" w:firstLine="565"/>
        <w:spacing w:before="304" w:line="363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）《</w:t>
      </w:r>
      <w:r>
        <w:rPr>
          <w:rFonts w:ascii="Times New Roman" w:hAnsi="Times New Roman" w:eastAsia="Times New Roman" w:cs="Times New Roman"/>
          <w:spacing w:val="-1"/>
        </w:rPr>
        <w:t>ISO/TS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14067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2013 </w:t>
      </w:r>
      <w:r>
        <w:rPr>
          <w:spacing w:val="-1"/>
        </w:rPr>
        <w:t>温室气体</w:t>
      </w:r>
      <w:r>
        <w:rPr>
          <w:rFonts w:ascii="Times New Roman" w:hAnsi="Times New Roman" w:eastAsia="Times New Roman" w:cs="Times New Roman"/>
          <w:spacing w:val="-1"/>
        </w:rPr>
        <w:t>—</w:t>
      </w:r>
      <w:r>
        <w:rPr>
          <w:spacing w:val="-1"/>
        </w:rPr>
        <w:t>产品碳足迹</w:t>
      </w:r>
      <w:r>
        <w:rPr>
          <w:rFonts w:ascii="Times New Roman" w:hAnsi="Times New Roman" w:eastAsia="Times New Roman" w:cs="Times New Roman"/>
          <w:spacing w:val="-1"/>
        </w:rPr>
        <w:t>—</w:t>
      </w:r>
      <w:r>
        <w:rPr>
          <w:spacing w:val="-1"/>
        </w:rPr>
        <w:t>量化和信</w:t>
      </w:r>
      <w:r>
        <w:rPr/>
        <w:t xml:space="preserve"> </w:t>
      </w:r>
      <w:r>
        <w:rPr/>
        <w:t>息交流的要求与指南》，此标准以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PAS 2050 </w:t>
      </w:r>
      <w:r>
        <w:rPr/>
        <w:t>为种子文件，由国际标 </w:t>
      </w:r>
      <w:r>
        <w:rPr/>
        <w:t>准化组织（</w:t>
      </w:r>
      <w:r>
        <w:rPr>
          <w:rFonts w:ascii="Times New Roman" w:hAnsi="Times New Roman" w:eastAsia="Times New Roman" w:cs="Times New Roman"/>
        </w:rPr>
        <w:t>ISO</w:t>
      </w:r>
      <w:r>
        <w:rPr/>
        <w:t>）编制发布。产品碳足迹核算标准的出现目的是建立</w:t>
      </w:r>
      <w:r>
        <w:rPr>
          <w:spacing w:val="1"/>
        </w:rPr>
        <w:t xml:space="preserve"> </w:t>
      </w:r>
      <w:r>
        <w:rPr>
          <w:spacing w:val="-1"/>
        </w:rPr>
        <w:t>一个一致的、国际间认可的评估产品碳足迹的方法。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101" w:line="225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2. </w:t>
      </w:r>
      <w:r>
        <w:rPr>
          <w:sz w:val="31"/>
          <w:szCs w:val="31"/>
          <w:b/>
          <w:bCs/>
          <w:spacing w:val="-3"/>
        </w:rPr>
        <w:t>目标与范围定义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101" w:line="224" w:lineRule="auto"/>
        <w:outlineLvl w:val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2.1 </w:t>
      </w:r>
      <w:r>
        <w:rPr>
          <w:sz w:val="31"/>
          <w:szCs w:val="31"/>
          <w:b/>
          <w:bCs/>
          <w:spacing w:val="5"/>
        </w:rPr>
        <w:t>企业及其产品介绍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25" w:right="215" w:firstLine="557"/>
        <w:spacing w:before="91" w:line="406" w:lineRule="auto"/>
        <w:jc w:val="both"/>
        <w:rPr/>
      </w:pPr>
      <w:r>
        <w:rPr>
          <w:spacing w:val="-7"/>
        </w:rPr>
        <w:t>河北遒迈建材有限公司于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2012 </w:t>
      </w:r>
      <w:r>
        <w:rPr>
          <w:spacing w:val="-7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  </w:t>
      </w:r>
      <w:r>
        <w:rPr>
          <w:spacing w:val="-7"/>
        </w:rPr>
        <w:t>日成立，公司注册资金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9305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万元，主要经营环保砖、机制砂、碎石</w:t>
      </w:r>
      <w:r>
        <w:rPr>
          <w:spacing w:val="2"/>
        </w:rPr>
        <w:t>等。公司位于涞水县王</w:t>
      </w:r>
      <w:r>
        <w:rPr/>
        <w:t xml:space="preserve"> </w:t>
      </w:r>
      <w:r>
        <w:rPr>
          <w:spacing w:val="-3"/>
        </w:rPr>
        <w:t>村乡北辛庄村，占地面积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42000m</w:t>
      </w:r>
      <w:r>
        <w:rPr>
          <w:rFonts w:ascii="Times New Roman" w:hAnsi="Times New Roman" w:eastAsia="Times New Roman" w:cs="Times New Roman"/>
          <w:sz w:val="18"/>
          <w:szCs w:val="18"/>
          <w:spacing w:val="-3"/>
          <w:position w:val="9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-10"/>
          <w:position w:val="9"/>
        </w:rPr>
        <w:t xml:space="preserve"> </w:t>
      </w:r>
      <w:r>
        <w:rPr>
          <w:spacing w:val="-3"/>
        </w:rPr>
        <w:t>，建筑面积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27538m</w:t>
      </w:r>
      <w:r>
        <w:rPr>
          <w:rFonts w:ascii="Times New Roman" w:hAnsi="Times New Roman" w:eastAsia="Times New Roman" w:cs="Times New Roman"/>
          <w:sz w:val="18"/>
          <w:szCs w:val="18"/>
          <w:spacing w:val="-3"/>
          <w:position w:val="9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-12"/>
          <w:position w:val="9"/>
        </w:rPr>
        <w:t xml:space="preserve"> </w:t>
      </w:r>
      <w:r>
        <w:rPr>
          <w:spacing w:val="-3"/>
        </w:rPr>
        <w:t>，现有职工总</w:t>
      </w:r>
      <w:r>
        <w:rPr/>
        <w:t xml:space="preserve"> </w:t>
      </w:r>
      <w:r>
        <w:rPr>
          <w:spacing w:val="2"/>
        </w:rPr>
        <w:t>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90 </w:t>
      </w:r>
      <w:r>
        <w:rPr>
          <w:spacing w:val="2"/>
        </w:rPr>
        <w:t>人，项目年工作时间</w:t>
      </w:r>
      <w:r>
        <w:rPr>
          <w:rFonts w:ascii="Times New Roman" w:hAnsi="Times New Roman" w:eastAsia="Times New Roman" w:cs="Times New Roman"/>
          <w:spacing w:val="2"/>
        </w:rPr>
        <w:t>300 </w:t>
      </w:r>
      <w:r>
        <w:rPr>
          <w:spacing w:val="2"/>
        </w:rPr>
        <w:t>天，每天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班</w:t>
      </w:r>
      <w:r>
        <w:rPr>
          <w:spacing w:val="1"/>
        </w:rPr>
        <w:t>生产制，每天工作时间</w:t>
      </w:r>
      <w:r>
        <w:rPr/>
        <w:t xml:space="preserve"> </w:t>
      </w:r>
      <w:r>
        <w:rPr>
          <w:spacing w:val="-9"/>
        </w:rPr>
        <w:t>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9"/>
        </w:rPr>
        <w:t>小时。</w:t>
      </w:r>
    </w:p>
    <w:p>
      <w:pPr>
        <w:pStyle w:val="BodyText"/>
        <w:ind w:left="22" w:firstLine="560"/>
        <w:spacing w:before="36" w:line="405" w:lineRule="auto"/>
        <w:jc w:val="both"/>
        <w:rPr/>
      </w:pPr>
      <w:r>
        <w:rPr>
          <w:spacing w:val="-6"/>
        </w:rPr>
        <w:t>河北遒迈建材有限公司秉承绿色环保的宗旨，大力发展市场经济，</w:t>
      </w:r>
      <w:r>
        <w:rPr>
          <w:spacing w:val="5"/>
        </w:rPr>
        <w:t xml:space="preserve"> </w:t>
      </w:r>
      <w:r>
        <w:rPr>
          <w:spacing w:val="-7"/>
        </w:rPr>
        <w:t>将建筑废弃物、建筑垃圾、净水泥砂等变废为宝，加工生产机制砂石、</w:t>
      </w:r>
      <w:r>
        <w:rPr>
          <w:spacing w:val="2"/>
        </w:rPr>
        <w:t xml:space="preserve"> </w:t>
      </w:r>
      <w:r>
        <w:rPr>
          <w:spacing w:val="-7"/>
        </w:rPr>
        <w:t>环保砖、环保瓦等半成品及产成品，弘扬民族文化，将公司推入保定、</w:t>
      </w:r>
      <w:r>
        <w:rPr>
          <w:spacing w:val="2"/>
        </w:rPr>
        <w:t xml:space="preserve"> </w:t>
      </w:r>
      <w:r>
        <w:rPr>
          <w:spacing w:val="-4"/>
        </w:rPr>
        <w:t>北京、天津及其他周边等经济发达的地区，在实现公司生产效益的同</w:t>
      </w:r>
    </w:p>
    <w:p>
      <w:pPr>
        <w:spacing w:line="405" w:lineRule="auto"/>
        <w:sectPr>
          <w:footerReference w:type="default" r:id="rId5"/>
          <w:pgSz w:w="11906" w:h="16839"/>
          <w:pgMar w:top="400" w:right="1584" w:bottom="1176" w:left="1785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77"/>
        <w:spacing w:before="91" w:line="219" w:lineRule="auto"/>
        <w:rPr/>
      </w:pPr>
      <w:r>
        <w:rPr>
          <w:spacing w:val="-2"/>
        </w:rPr>
        <w:t>时，为建设周边社会环境做出相应的贡献。</w:t>
      </w:r>
    </w:p>
    <w:p>
      <w:pPr>
        <w:pStyle w:val="BodyText"/>
        <w:ind w:left="66" w:firstLine="555"/>
        <w:spacing w:before="297" w:line="408" w:lineRule="auto"/>
        <w:jc w:val="both"/>
        <w:rPr/>
      </w:pPr>
      <w:r>
        <w:rPr>
          <w:spacing w:val="-4"/>
        </w:rPr>
        <w:t>河北遒迈建材有限公司自成立以来，一直以科技创新、绿色环保</w:t>
      </w:r>
      <w:r>
        <w:rPr>
          <w:spacing w:val="8"/>
        </w:rPr>
        <w:t xml:space="preserve"> </w:t>
      </w:r>
      <w:r>
        <w:rPr>
          <w:spacing w:val="-4"/>
        </w:rPr>
        <w:t>为宗旨，不断提升管理水平和服务质量，致力于建设节能环保型和智</w:t>
      </w:r>
      <w:r>
        <w:rPr>
          <w:spacing w:val="12"/>
        </w:rPr>
        <w:t xml:space="preserve"> </w:t>
      </w:r>
      <w:r>
        <w:rPr>
          <w:spacing w:val="-4"/>
        </w:rPr>
        <w:t>能制造型企业。经过多年发展，公司凭借较强的技术研发能力、严格</w:t>
      </w:r>
      <w:r>
        <w:rPr>
          <w:spacing w:val="12"/>
        </w:rPr>
        <w:t xml:space="preserve"> </w:t>
      </w:r>
      <w:r>
        <w:rPr>
          <w:spacing w:val="-4"/>
        </w:rPr>
        <w:t>的质量管理、先进的生产及环保设备，有效满足了市场不断升级的消</w:t>
      </w:r>
      <w:r>
        <w:rPr>
          <w:spacing w:val="12"/>
        </w:rPr>
        <w:t xml:space="preserve"> </w:t>
      </w:r>
      <w:r>
        <w:rPr>
          <w:spacing w:val="-4"/>
        </w:rPr>
        <w:t>费需求，销售规模快速提升，品牌效应逐步彰显，在全国已具有较高</w:t>
      </w:r>
      <w:r>
        <w:rPr>
          <w:spacing w:val="12"/>
        </w:rPr>
        <w:t xml:space="preserve"> </w:t>
      </w:r>
      <w:r>
        <w:rPr>
          <w:spacing w:val="-9"/>
        </w:rPr>
        <w:t>的市场知名度与品牌影响力。配备了先进的管</w:t>
      </w:r>
      <w:r>
        <w:rPr>
          <w:spacing w:val="-10"/>
        </w:rPr>
        <w:t>理系统、智能生产设备。</w:t>
      </w:r>
      <w:r>
        <w:rPr/>
        <w:t xml:space="preserve"> </w:t>
      </w:r>
      <w:r>
        <w:rPr>
          <w:spacing w:val="-1"/>
        </w:rPr>
        <w:t>从全国聘请各类专业技术人才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16 </w:t>
      </w:r>
      <w:r>
        <w:rPr>
          <w:spacing w:val="-1"/>
        </w:rPr>
        <w:t>人，并投资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860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万元成立</w:t>
      </w:r>
      <w:r>
        <w:rPr>
          <w:spacing w:val="-2"/>
        </w:rPr>
        <w:t>了企业技</w:t>
      </w:r>
      <w:r>
        <w:rPr/>
        <w:t xml:space="preserve"> </w:t>
      </w:r>
      <w:r>
        <w:rPr>
          <w:spacing w:val="-4"/>
        </w:rPr>
        <w:t>术中心，研发高新技术及高新产品，积极与国内外同行进行科技合作</w:t>
      </w:r>
      <w:r>
        <w:rPr>
          <w:spacing w:val="12"/>
        </w:rPr>
        <w:t xml:space="preserve"> </w:t>
      </w:r>
      <w:r>
        <w:rPr>
          <w:spacing w:val="-1"/>
        </w:rPr>
        <w:t>与学术交流，不断吸纳国内最新技术，提高自身研发能力和水平。</w:t>
      </w:r>
    </w:p>
    <w:p>
      <w:pPr>
        <w:pStyle w:val="BodyText"/>
        <w:ind w:firstLine="617"/>
        <w:spacing w:before="34" w:line="409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年被中共涞水县委、涞水县人民政府评选为涞水县民营经</w:t>
      </w:r>
      <w:r>
        <w:rPr>
          <w:spacing w:val="17"/>
        </w:rPr>
        <w:t xml:space="preserve"> </w:t>
      </w:r>
      <w:r>
        <w:rPr/>
        <w:t>济高质量发展优秀企业，被评为</w:t>
      </w:r>
      <w:r>
        <w:rPr>
          <w:rFonts w:ascii="Times New Roman" w:hAnsi="Times New Roman" w:eastAsia="Times New Roman" w:cs="Times New Roman"/>
        </w:rPr>
        <w:t>“</w:t>
      </w:r>
      <w:r>
        <w:rPr/>
        <w:t>碳中和承诺</w:t>
      </w:r>
      <w:r>
        <w:rPr>
          <w:spacing w:val="-1"/>
        </w:rPr>
        <w:t>示范单位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，被保定市科</w:t>
      </w:r>
      <w:r>
        <w:rPr/>
        <w:t xml:space="preserve"> </w:t>
      </w:r>
      <w:r>
        <w:rPr>
          <w:spacing w:val="4"/>
        </w:rPr>
        <w:t>学技术局评为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保定市建筑废料资源化技术</w:t>
      </w:r>
      <w:r>
        <w:rPr>
          <w:spacing w:val="3"/>
        </w:rPr>
        <w:t>创新中心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3"/>
        </w:rPr>
        <w:t>、荣获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河北省</w:t>
      </w:r>
      <w:r>
        <w:rPr/>
        <w:t xml:space="preserve"> </w:t>
      </w:r>
      <w:r>
        <w:rPr>
          <w:spacing w:val="-1"/>
        </w:rPr>
        <w:t>专精特新中小企业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保定市企业技术中心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全国</w:t>
      </w:r>
      <w:r>
        <w:rPr>
          <w:spacing w:val="-2"/>
        </w:rPr>
        <w:t>质量产品名优企</w:t>
      </w:r>
      <w:r>
        <w:rPr/>
        <w:t xml:space="preserve"> </w:t>
      </w:r>
      <w:r>
        <w:rPr/>
        <w:t>业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“</w:t>
      </w:r>
      <w:r>
        <w:rPr/>
        <w:t>企业信用评价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AAA </w:t>
      </w:r>
      <w:r>
        <w:rPr/>
        <w:t>级信用企业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“</w:t>
      </w:r>
      <w:r>
        <w:rPr/>
        <w:t>中小企业</w:t>
      </w:r>
      <w:r>
        <w:rPr>
          <w:spacing w:val="-1"/>
        </w:rPr>
        <w:t>诚信示范单位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重服务守信用企业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。企业现已通过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ISO9001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ISO14001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I</w:t>
      </w:r>
      <w:r>
        <w:rPr>
          <w:rFonts w:ascii="Times New Roman" w:hAnsi="Times New Roman" w:eastAsia="Times New Roman" w:cs="Times New Roman"/>
          <w:spacing w:val="-6"/>
        </w:rPr>
        <w:t>SO45001</w:t>
      </w:r>
      <w:r>
        <w:rPr>
          <w:spacing w:val="-6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3"/>
        </w:rPr>
        <w:t>50001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3"/>
        </w:rPr>
        <w:t>四体系认证，通过各类管理体系的建立，确保从大的流程</w:t>
      </w:r>
      <w:r>
        <w:rPr/>
        <w:t xml:space="preserve"> </w:t>
      </w:r>
      <w:r>
        <w:rPr>
          <w:spacing w:val="-2"/>
        </w:rPr>
        <w:t>到小的操作都有章可循，并规范环保工作的管理，使各项工作有序运</w:t>
      </w:r>
      <w:r>
        <w:rPr>
          <w:spacing w:val="18"/>
        </w:rPr>
        <w:t xml:space="preserve"> </w:t>
      </w:r>
      <w:r>
        <w:rPr>
          <w:spacing w:val="26"/>
        </w:rPr>
        <w:t>转。</w:t>
      </w:r>
    </w:p>
    <w:p>
      <w:pPr>
        <w:pStyle w:val="BodyText"/>
        <w:ind w:left="60"/>
        <w:spacing w:before="141" w:line="225" w:lineRule="auto"/>
        <w:outlineLvl w:val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2.2 </w:t>
      </w:r>
      <w:r>
        <w:rPr>
          <w:sz w:val="31"/>
          <w:szCs w:val="31"/>
          <w:b/>
          <w:bCs/>
          <w:spacing w:val="5"/>
        </w:rPr>
        <w:t>碳足迹范围描述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66" w:right="97" w:firstLine="558"/>
        <w:spacing w:before="92" w:line="398" w:lineRule="auto"/>
        <w:rPr/>
      </w:pPr>
      <w:r>
        <w:rPr>
          <w:spacing w:val="-1"/>
        </w:rPr>
        <w:t>本报告核查的温室气体种类包含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IPCC </w:t>
      </w:r>
      <w:r>
        <w:rPr>
          <w:spacing w:val="-1"/>
        </w:rPr>
        <w:t>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 </w:t>
      </w:r>
      <w:r>
        <w:rPr>
          <w:spacing w:val="-1"/>
        </w:rPr>
        <w:t>次评</w:t>
      </w:r>
      <w:r>
        <w:rPr>
          <w:spacing w:val="-2"/>
        </w:rPr>
        <w:t>估报告中所列的</w:t>
      </w:r>
      <w:r>
        <w:rPr/>
        <w:t xml:space="preserve"> </w:t>
      </w:r>
      <w:r>
        <w:rPr>
          <w:spacing w:val="-2"/>
        </w:rPr>
        <w:t>温室气体，如二氧化碳（</w:t>
      </w:r>
      <w:r>
        <w:rPr>
          <w:rFonts w:ascii="Times New Roman" w:hAnsi="Times New Roman" w:eastAsia="Times New Roman" w:cs="Times New Roman"/>
          <w:spacing w:val="-2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2 </w:t>
      </w:r>
      <w:r>
        <w:rPr>
          <w:spacing w:val="-2"/>
        </w:rPr>
        <w:t>）、臭氧（</w:t>
      </w:r>
      <w:r>
        <w:rPr>
          <w:rFonts w:ascii="Times New Roman" w:hAnsi="Times New Roman" w:eastAsia="Times New Roman" w:cs="Times New Roman"/>
          <w:spacing w:val="-2"/>
        </w:rPr>
        <w:t>O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3 </w:t>
      </w:r>
      <w:r>
        <w:rPr>
          <w:spacing w:val="-2"/>
        </w:rPr>
        <w:t>）、氧化亚氮（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2</w:t>
      </w:r>
      <w:r>
        <w:rPr>
          <w:rFonts w:ascii="Times New Roman" w:hAnsi="Times New Roman" w:eastAsia="Times New Roman" w:cs="Times New Roman"/>
          <w:spacing w:val="-2"/>
        </w:rPr>
        <w:t>O</w:t>
      </w:r>
      <w:r>
        <w:rPr>
          <w:spacing w:val="-2"/>
        </w:rPr>
        <w:t>）、</w:t>
      </w:r>
    </w:p>
    <w:p>
      <w:pPr>
        <w:spacing w:line="398" w:lineRule="auto"/>
        <w:sectPr>
          <w:footerReference w:type="default" r:id="rId6"/>
          <w:pgSz w:w="11906" w:h="16839"/>
          <w:pgMar w:top="400" w:right="1701" w:bottom="1176" w:left="1747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2" w:right="13" w:firstLine="38"/>
        <w:spacing w:before="91" w:line="402" w:lineRule="auto"/>
        <w:jc w:val="both"/>
        <w:rPr/>
      </w:pPr>
      <w:r>
        <w:rPr>
          <w:spacing w:val="-2"/>
        </w:rPr>
        <w:t>甲烷（</w:t>
      </w:r>
      <w:r>
        <w:rPr>
          <w:rFonts w:ascii="Times New Roman" w:hAnsi="Times New Roman" w:eastAsia="Times New Roman" w:cs="Times New Roman"/>
          <w:spacing w:val="-2"/>
        </w:rPr>
        <w:t>CH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-1"/>
        </w:rPr>
        <w:t>4 </w:t>
      </w:r>
      <w:r>
        <w:rPr>
          <w:spacing w:val="-2"/>
        </w:rPr>
        <w:t>）、氢氟氯碳化物类（</w:t>
      </w:r>
      <w:r>
        <w:rPr>
          <w:rFonts w:ascii="Times New Roman" w:hAnsi="Times New Roman" w:eastAsia="Times New Roman" w:cs="Times New Roman"/>
          <w:spacing w:val="-2"/>
        </w:rPr>
        <w:t>CFCs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HFCs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HCFCs</w:t>
      </w:r>
      <w:r>
        <w:rPr>
          <w:spacing w:val="-2"/>
        </w:rPr>
        <w:t>）、全氟碳</w:t>
      </w:r>
      <w:r>
        <w:rPr/>
        <w:t xml:space="preserve"> </w:t>
      </w:r>
      <w:r>
        <w:rPr>
          <w:spacing w:val="1"/>
        </w:rPr>
        <w:t>化物（</w:t>
      </w:r>
      <w:r>
        <w:rPr>
          <w:rFonts w:ascii="Times New Roman" w:hAnsi="Times New Roman" w:eastAsia="Times New Roman" w:cs="Times New Roman"/>
        </w:rPr>
        <w:t>PFCs</w:t>
      </w:r>
      <w:r>
        <w:rPr>
          <w:spacing w:val="1"/>
        </w:rPr>
        <w:t>）及六氟化硫（</w:t>
      </w:r>
      <w:r>
        <w:rPr>
          <w:rFonts w:ascii="Times New Roman" w:hAnsi="Times New Roman" w:eastAsia="Times New Roman" w:cs="Times New Roman"/>
        </w:rPr>
        <w:t>SF</w:t>
      </w:r>
      <w:r>
        <w:rPr>
          <w:rFonts w:ascii="Times New Roman" w:hAnsi="Times New Roman" w:eastAsia="Times New Roman" w:cs="Times New Roman"/>
          <w:sz w:val="18"/>
          <w:szCs w:val="18"/>
          <w:spacing w:val="1"/>
          <w:position w:val="-1"/>
        </w:rPr>
        <w:t>6 </w:t>
      </w:r>
      <w:r>
        <w:rPr>
          <w:spacing w:val="1"/>
        </w:rPr>
        <w:t>）等，并且采用了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IPCC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第五次评估</w:t>
      </w:r>
      <w:r>
        <w:rPr/>
        <w:t xml:space="preserve"> </w:t>
      </w:r>
      <w:r>
        <w:rPr>
          <w:spacing w:val="2"/>
        </w:rPr>
        <w:t>报告（</w:t>
      </w:r>
      <w:r>
        <w:rPr>
          <w:rFonts w:ascii="Times New Roman" w:hAnsi="Times New Roman" w:eastAsia="Times New Roman" w:cs="Times New Roman"/>
          <w:spacing w:val="2"/>
        </w:rPr>
        <w:t>2013</w:t>
      </w:r>
      <w:r>
        <w:rPr>
          <w:spacing w:val="2"/>
        </w:rPr>
        <w:t>年）提出的方法来计算产品生产周期</w:t>
      </w:r>
      <w:r>
        <w:rPr>
          <w:spacing w:val="1"/>
        </w:rPr>
        <w:t>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GWP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值。</w:t>
      </w:r>
    </w:p>
    <w:p>
      <w:pPr>
        <w:pStyle w:val="BodyText"/>
        <w:ind w:left="25" w:right="13" w:firstLine="562"/>
        <w:spacing w:before="42" w:line="398" w:lineRule="auto"/>
        <w:rPr/>
      </w:pPr>
      <w:r>
        <w:rPr>
          <w:spacing w:val="-5"/>
        </w:rPr>
        <w:t>为方便轻量化，将碳足迹的计算定义为生产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1m</w:t>
      </w:r>
      <w:r>
        <w:rPr>
          <w:rFonts w:ascii="Times New Roman" w:hAnsi="Times New Roman" w:eastAsia="Times New Roman" w:cs="Times New Roman"/>
          <w:sz w:val="18"/>
          <w:szCs w:val="18"/>
          <w:spacing w:val="-5"/>
          <w:position w:val="9"/>
        </w:rPr>
        <w:t>3 </w:t>
      </w:r>
      <w:r>
        <w:rPr>
          <w:spacing w:val="-5"/>
        </w:rPr>
        <w:t>机制砂、碎石所</w:t>
      </w:r>
      <w:r>
        <w:rPr/>
        <w:t xml:space="preserve"> </w:t>
      </w:r>
      <w:r>
        <w:rPr>
          <w:spacing w:val="-2"/>
        </w:rPr>
        <w:t>产生的碳足迹。</w:t>
      </w:r>
    </w:p>
    <w:p>
      <w:pPr>
        <w:pStyle w:val="BodyText"/>
        <w:ind w:left="26" w:right="13" w:firstLine="561"/>
        <w:spacing w:before="39" w:line="398" w:lineRule="auto"/>
        <w:rPr/>
      </w:pPr>
      <w:r>
        <w:rPr>
          <w:spacing w:val="-4"/>
        </w:rPr>
        <w:t>核查地点为河北遒迈建材有限公司（地址：涞水县王村乡北辛庄</w:t>
      </w:r>
      <w:r>
        <w:rPr>
          <w:spacing w:val="4"/>
        </w:rPr>
        <w:t xml:space="preserve"> </w:t>
      </w:r>
      <w:r>
        <w:rPr>
          <w:spacing w:val="-4"/>
        </w:rPr>
        <w:t>村）。</w:t>
      </w:r>
    </w:p>
    <w:p>
      <w:pPr>
        <w:ind w:firstLine="14"/>
        <w:spacing w:before="13" w:line="2827" w:lineRule="exact"/>
        <w:rPr/>
      </w:pPr>
      <w:r>
        <w:rPr>
          <w:position w:val="-56"/>
        </w:rPr>
        <w:drawing>
          <wp:inline distT="0" distB="0" distL="0" distR="0">
            <wp:extent cx="5266944" cy="179527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56"/>
        <w:spacing w:before="322" w:line="221" w:lineRule="auto"/>
        <w:rPr/>
      </w:pPr>
      <w:r>
        <w:rPr>
          <w:b/>
          <w:bCs/>
          <w:spacing w:val="-14"/>
        </w:rPr>
        <w:t>图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4"/>
        </w:rPr>
        <w:t>1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   </w:t>
      </w:r>
      <w:r>
        <w:rPr>
          <w:b/>
          <w:bCs/>
          <w:spacing w:val="-14"/>
        </w:rPr>
        <w:t>系统边界</w:t>
      </w:r>
    </w:p>
    <w:p>
      <w:pPr>
        <w:pStyle w:val="BodyText"/>
        <w:ind w:left="25" w:right="13" w:firstLine="559"/>
        <w:spacing w:before="287" w:line="406" w:lineRule="auto"/>
        <w:jc w:val="both"/>
        <w:rPr/>
      </w:pPr>
      <w:r>
        <w:rPr>
          <w:spacing w:val="-4"/>
        </w:rPr>
        <w:t>根据企业的实际情况，本次产品碳足迹核查过程中使</w:t>
      </w:r>
      <w:r>
        <w:rPr>
          <w:spacing w:val="-5"/>
        </w:rPr>
        <w:t>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PAS2050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作为评估标准，盘查边界可分为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B2B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Business-to-Business</w:t>
      </w:r>
      <w:r>
        <w:rPr>
          <w:spacing w:val="-1"/>
        </w:rPr>
        <w:t>）和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B2C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Business-to-Consumer</w:t>
      </w:r>
      <w:r>
        <w:rPr>
          <w:spacing w:val="-3"/>
        </w:rPr>
        <w:t>）两种。本次</w:t>
      </w:r>
      <w:r>
        <w:rPr>
          <w:spacing w:val="-4"/>
        </w:rPr>
        <w:t>盘查的系统边界属“从摇篮到大</w:t>
      </w:r>
      <w:r>
        <w:rPr/>
        <w:t xml:space="preserve"> </w:t>
      </w:r>
      <w:r>
        <w:rPr>
          <w:spacing w:val="-5"/>
        </w:rPr>
        <w:t>门</w:t>
      </w:r>
      <w:r>
        <w:rPr>
          <w:spacing w:val="-96"/>
        </w:rPr>
        <w:t xml:space="preserve"> </w:t>
      </w:r>
      <w:r>
        <w:rPr>
          <w:spacing w:val="-5"/>
        </w:rPr>
        <w:t>”的类型，为实现上述功能单位，虚线边框中的过程不在温室气体</w:t>
      </w:r>
      <w:r>
        <w:rPr/>
        <w:t xml:space="preserve"> </w:t>
      </w:r>
      <w:r>
        <w:rPr>
          <w:spacing w:val="-1"/>
        </w:rPr>
        <w:t>排放计算内。本报告排除以下情况的温室气体排放：</w:t>
      </w:r>
    </w:p>
    <w:p>
      <w:pPr>
        <w:pStyle w:val="BodyText"/>
        <w:ind w:left="592"/>
        <w:spacing w:before="42" w:line="221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）与人员相关活动温室气体排放量不计；</w:t>
      </w:r>
    </w:p>
    <w:p>
      <w:pPr>
        <w:pStyle w:val="BodyText"/>
        <w:ind w:left="30" w:right="13" w:firstLine="561"/>
        <w:spacing w:before="288" w:line="316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）工厂、仓库、办公室等产生的排放量由于受地域、工厂排</w:t>
      </w:r>
      <w:r>
        <w:rPr/>
        <w:t xml:space="preserve"> </w:t>
      </w:r>
      <w:r>
        <w:rPr>
          <w:spacing w:val="-2"/>
        </w:rPr>
        <w:t>列等多方面因素的复杂影响，不计。</w:t>
      </w:r>
    </w:p>
    <w:p>
      <w:pPr>
        <w:spacing w:line="316" w:lineRule="auto"/>
        <w:sectPr>
          <w:footerReference w:type="default" r:id="rId7"/>
          <w:pgSz w:w="11906" w:h="16839"/>
          <w:pgMar w:top="400" w:right="1785" w:bottom="1176" w:left="1785" w:header="0" w:footer="989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00" w:line="225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3.</w:t>
      </w:r>
      <w:r>
        <w:rPr>
          <w:sz w:val="31"/>
          <w:szCs w:val="31"/>
          <w:b/>
          <w:bCs/>
          <w:spacing w:val="5"/>
        </w:rPr>
        <w:t>数据收集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9" w:firstLine="564"/>
        <w:spacing w:before="91" w:line="408" w:lineRule="auto"/>
        <w:rPr/>
      </w:pPr>
      <w:r>
        <w:rPr>
          <w:spacing w:val="2"/>
        </w:rPr>
        <w:t>根据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PAS</w:t>
      </w:r>
      <w:r>
        <w:rPr>
          <w:rFonts w:ascii="Times New Roman" w:hAnsi="Times New Roman" w:eastAsia="Times New Roman" w:cs="Times New Roman"/>
          <w:spacing w:val="2"/>
        </w:rPr>
        <w:t>2050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  <w:spacing w:val="2"/>
        </w:rPr>
        <w:t>2011 </w:t>
      </w:r>
      <w:r>
        <w:rPr>
          <w:spacing w:val="2"/>
        </w:rPr>
        <w:t>标准的要求，核查组组建了碳足迹盘查工</w:t>
      </w:r>
      <w:r>
        <w:rPr/>
        <w:t xml:space="preserve">  </w:t>
      </w:r>
      <w:r>
        <w:rPr>
          <w:spacing w:val="-5"/>
        </w:rPr>
        <w:t>作组对河北遒迈建材有限公司的机制砂、碎石产品的碳足迹进行盘查。</w:t>
      </w:r>
      <w:r>
        <w:rPr>
          <w:spacing w:val="14"/>
        </w:rPr>
        <w:t xml:space="preserve"> </w:t>
      </w:r>
      <w:r>
        <w:rPr>
          <w:spacing w:val="-3"/>
        </w:rPr>
        <w:t>工作组对产品碳足迹盘查工作先进行前期准</w:t>
      </w:r>
      <w:r>
        <w:rPr>
          <w:spacing w:val="-4"/>
        </w:rPr>
        <w:t>备，然后确定工作方案和</w:t>
      </w:r>
      <w:r>
        <w:rPr/>
        <w:t xml:space="preserve">  </w:t>
      </w:r>
      <w:r>
        <w:rPr>
          <w:spacing w:val="-3"/>
        </w:rPr>
        <w:t>范围、并通过查阅文件、现场访问和电话沟</w:t>
      </w:r>
      <w:r>
        <w:rPr>
          <w:spacing w:val="-4"/>
        </w:rPr>
        <w:t>通等过程完成本次温室气</w:t>
      </w:r>
      <w:r>
        <w:rPr/>
        <w:t xml:space="preserve">  </w:t>
      </w:r>
      <w:r>
        <w:rPr>
          <w:spacing w:val="-3"/>
        </w:rPr>
        <w:t>体排放盘查工作。前期准备工作主要包括：</w:t>
      </w:r>
      <w:r>
        <w:rPr>
          <w:spacing w:val="-4"/>
        </w:rPr>
        <w:t>了解产品基本情况、生产</w:t>
      </w:r>
      <w:r>
        <w:rPr/>
        <w:t xml:space="preserve">  </w:t>
      </w:r>
      <w:r>
        <w:rPr>
          <w:spacing w:val="-3"/>
        </w:rPr>
        <w:t>工艺流程及原材料供应商等信息；并调研和</w:t>
      </w:r>
      <w:r>
        <w:rPr>
          <w:spacing w:val="-4"/>
        </w:rPr>
        <w:t>收集部分原始数据，主要</w:t>
      </w:r>
      <w:r>
        <w:rPr/>
        <w:t xml:space="preserve">  </w:t>
      </w:r>
      <w:r>
        <w:rPr>
          <w:spacing w:val="-7"/>
        </w:rPr>
        <w:t>包括：企业的生产报表、财务数据等，以保证数据的完整性和准确性，</w:t>
      </w:r>
      <w:r>
        <w:rPr>
          <w:spacing w:val="9"/>
        </w:rPr>
        <w:t xml:space="preserve"> </w:t>
      </w:r>
      <w:r>
        <w:rPr>
          <w:spacing w:val="-3"/>
        </w:rPr>
        <w:t>并在后期报告编制阶段，大量查阅数据库、</w:t>
      </w:r>
      <w:r>
        <w:rPr>
          <w:spacing w:val="-4"/>
        </w:rPr>
        <w:t>文献报告以及成熟可用的</w:t>
      </w:r>
      <w:r>
        <w:rPr/>
        <w:t xml:space="preserve">  </w:t>
      </w:r>
      <w:r>
        <w:rPr>
          <w:rFonts w:ascii="Times New Roman" w:hAnsi="Times New Roman" w:eastAsia="Times New Roman" w:cs="Times New Roman"/>
          <w:spacing w:val="-1"/>
        </w:rPr>
        <w:t>LCA </w:t>
      </w:r>
      <w:r>
        <w:rPr>
          <w:spacing w:val="-1"/>
        </w:rPr>
        <w:t>软件去获取排放因子。</w:t>
      </w:r>
    </w:p>
    <w:p>
      <w:pPr>
        <w:pStyle w:val="BodyText"/>
        <w:ind w:left="19"/>
        <w:spacing w:before="141" w:line="225" w:lineRule="auto"/>
        <w:outlineLvl w:val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3.1 </w:t>
      </w:r>
      <w:r>
        <w:rPr>
          <w:sz w:val="31"/>
          <w:szCs w:val="31"/>
          <w:b/>
          <w:bCs/>
          <w:spacing w:val="5"/>
        </w:rPr>
        <w:t>初级活动水平数据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25" w:right="239" w:firstLine="559"/>
        <w:spacing w:before="92" w:line="407" w:lineRule="auto"/>
        <w:jc w:val="both"/>
        <w:rPr/>
      </w:pPr>
      <w:r>
        <w:rPr>
          <w:spacing w:val="2"/>
        </w:rPr>
        <w:t>根据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PAS</w:t>
      </w:r>
      <w:r>
        <w:rPr>
          <w:rFonts w:ascii="Times New Roman" w:hAnsi="Times New Roman" w:eastAsia="Times New Roman" w:cs="Times New Roman"/>
          <w:spacing w:val="2"/>
        </w:rPr>
        <w:t>2050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  <w:spacing w:val="2"/>
        </w:rPr>
        <w:t>2011 </w:t>
      </w:r>
      <w:r>
        <w:rPr>
          <w:spacing w:val="2"/>
        </w:rPr>
        <w:t>标准的要求，初级活动水平数据应用于所</w:t>
      </w:r>
      <w:r>
        <w:rPr/>
        <w:t xml:space="preserve"> </w:t>
      </w:r>
      <w:r>
        <w:rPr>
          <w:spacing w:val="-4"/>
        </w:rPr>
        <w:t>有过程和材料，即产生碳足迹的组织所拥有、所经营或所控制的过程</w:t>
      </w:r>
      <w:r>
        <w:rPr>
          <w:spacing w:val="14"/>
        </w:rPr>
        <w:t xml:space="preserve"> </w:t>
      </w:r>
      <w:r>
        <w:rPr>
          <w:spacing w:val="-4"/>
        </w:rPr>
        <w:t>和材料。本报告初级活动水平数据包括产品生命周期系统中所有能源</w:t>
      </w:r>
      <w:r>
        <w:rPr>
          <w:spacing w:val="14"/>
        </w:rPr>
        <w:t xml:space="preserve"> </w:t>
      </w:r>
      <w:r>
        <w:rPr>
          <w:spacing w:val="-4"/>
        </w:rPr>
        <w:t>与物料的耗用（物料输入与输出、能源消耗等）。这些数据是从企业</w:t>
      </w:r>
      <w:r>
        <w:rPr>
          <w:spacing w:val="14"/>
        </w:rPr>
        <w:t xml:space="preserve"> </w:t>
      </w:r>
      <w:r>
        <w:rPr>
          <w:spacing w:val="-4"/>
        </w:rPr>
        <w:t>或其供应商处收集和测量获得，能真实地反映了整个生产过程能源和</w:t>
      </w:r>
      <w:r>
        <w:rPr>
          <w:spacing w:val="14"/>
        </w:rPr>
        <w:t xml:space="preserve"> </w:t>
      </w:r>
      <w:r>
        <w:rPr>
          <w:spacing w:val="-1"/>
        </w:rPr>
        <w:t>物料的输入，以及产品中间产品和废物的输出。</w:t>
      </w:r>
    </w:p>
    <w:p>
      <w:pPr>
        <w:pStyle w:val="BodyText"/>
        <w:ind w:left="19"/>
        <w:spacing w:before="142" w:line="225" w:lineRule="auto"/>
        <w:outlineLvl w:val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3.2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6"/>
        </w:rPr>
        <w:t xml:space="preserve"> </w:t>
      </w:r>
      <w:r>
        <w:rPr>
          <w:sz w:val="31"/>
          <w:szCs w:val="31"/>
          <w:b/>
          <w:bCs/>
          <w:spacing w:val="4"/>
        </w:rPr>
        <w:t>次级活动水平数据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3" w:right="209" w:firstLine="560"/>
        <w:spacing w:before="91" w:line="402" w:lineRule="auto"/>
        <w:jc w:val="both"/>
        <w:rPr/>
      </w:pPr>
      <w:r>
        <w:rPr>
          <w:spacing w:val="2"/>
        </w:rPr>
        <w:t>根据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PAS</w:t>
      </w:r>
      <w:r>
        <w:rPr>
          <w:rFonts w:ascii="Times New Roman" w:hAnsi="Times New Roman" w:eastAsia="Times New Roman" w:cs="Times New Roman"/>
          <w:spacing w:val="2"/>
        </w:rPr>
        <w:t>2050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  <w:spacing w:val="2"/>
        </w:rPr>
        <w:t>2011 </w:t>
      </w:r>
      <w:r>
        <w:rPr>
          <w:spacing w:val="2"/>
        </w:rPr>
        <w:t>标准的要求，凡无法获得初级活动水平数</w:t>
      </w:r>
      <w:r>
        <w:rPr/>
        <w:t xml:space="preserve"> </w:t>
      </w:r>
      <w:r>
        <w:rPr>
          <w:spacing w:val="-3"/>
        </w:rPr>
        <w:t>据或初级活动水平数据质量有问题（例如没有相应的测量仪表）时，</w:t>
      </w:r>
      <w:r>
        <w:rPr>
          <w:spacing w:val="16"/>
        </w:rPr>
        <w:t xml:space="preserve"> </w:t>
      </w:r>
      <w:r>
        <w:rPr>
          <w:spacing w:val="-4"/>
        </w:rPr>
        <w:t>有必要使用直接测量以外其他来源的次级数据。本报告中次级活动数</w:t>
      </w:r>
    </w:p>
    <w:p>
      <w:pPr>
        <w:spacing w:line="402" w:lineRule="auto"/>
        <w:sectPr>
          <w:footerReference w:type="default" r:id="rId9"/>
          <w:pgSz w:w="11906" w:h="16839"/>
          <w:pgMar w:top="400" w:right="1559" w:bottom="1173" w:left="1785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20" w:lineRule="auto"/>
        <w:rPr/>
      </w:pPr>
      <w:r>
        <w:rPr>
          <w:spacing w:val="-1"/>
        </w:rPr>
        <w:t>据主要来源数据库和文献资料中的数据。</w:t>
      </w:r>
    </w:p>
    <w:p>
      <w:pPr>
        <w:pStyle w:val="BodyText"/>
        <w:ind w:left="682"/>
        <w:spacing w:before="290" w:line="219" w:lineRule="auto"/>
        <w:rPr/>
      </w:pPr>
      <w:r>
        <w:rPr>
          <w:spacing w:val="-2"/>
        </w:rPr>
        <w:t>产品碳足迹计算采用的各项数据的类别与来源如下表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。</w:t>
      </w:r>
    </w:p>
    <w:p>
      <w:pPr>
        <w:pStyle w:val="BodyText"/>
        <w:ind w:left="2203"/>
        <w:spacing w:before="291" w:line="220" w:lineRule="auto"/>
        <w:rPr/>
      </w:pPr>
      <w:r>
        <w:rPr>
          <w:b/>
          <w:bCs/>
          <w:spacing w:val="-3"/>
        </w:rPr>
        <w:t>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1    </w:t>
      </w:r>
      <w:r>
        <w:rPr>
          <w:b/>
          <w:bCs/>
          <w:spacing w:val="-3"/>
        </w:rPr>
        <w:t>碳足迹盘查数据类别与来源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9"/>
        <w:gridCol w:w="1242"/>
        <w:gridCol w:w="2625"/>
        <w:gridCol w:w="2780"/>
      </w:tblGrid>
      <w:tr>
        <w:trPr>
          <w:trHeight w:val="463" w:hRule="atLeast"/>
        </w:trPr>
        <w:tc>
          <w:tcPr>
            <w:tcW w:w="5746" w:type="dxa"/>
            <w:vAlign w:val="top"/>
            <w:gridSpan w:val="3"/>
          </w:tcPr>
          <w:p>
            <w:pPr>
              <w:pStyle w:val="TableText"/>
              <w:ind w:left="2403"/>
              <w:spacing w:before="114" w:line="219" w:lineRule="auto"/>
              <w:rPr/>
            </w:pPr>
            <w:r>
              <w:rPr>
                <w:spacing w:val="-3"/>
              </w:rPr>
              <w:t>数据类别</w:t>
            </w:r>
          </w:p>
        </w:tc>
        <w:tc>
          <w:tcPr>
            <w:tcW w:w="2780" w:type="dxa"/>
            <w:vAlign w:val="top"/>
          </w:tcPr>
          <w:p>
            <w:pPr>
              <w:pStyle w:val="TableText"/>
              <w:ind w:left="679"/>
              <w:spacing w:before="114" w:line="219" w:lineRule="auto"/>
              <w:rPr/>
            </w:pPr>
            <w:r>
              <w:rPr>
                <w:spacing w:val="-3"/>
              </w:rPr>
              <w:t>活动数据来源</w:t>
            </w:r>
          </w:p>
        </w:tc>
      </w:tr>
      <w:tr>
        <w:trPr>
          <w:trHeight w:val="458" w:hRule="atLeast"/>
        </w:trPr>
        <w:tc>
          <w:tcPr>
            <w:tcW w:w="187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8" w:line="219" w:lineRule="auto"/>
              <w:rPr/>
            </w:pPr>
            <w:r>
              <w:rPr>
                <w:spacing w:val="-2"/>
              </w:rPr>
              <w:t>初级活动数据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385"/>
              <w:spacing w:before="109" w:line="219" w:lineRule="auto"/>
              <w:rPr/>
            </w:pPr>
            <w:r>
              <w:rPr>
                <w:spacing w:val="-5"/>
              </w:rPr>
              <w:t>输入</w:t>
            </w:r>
          </w:p>
        </w:tc>
        <w:tc>
          <w:tcPr>
            <w:tcW w:w="2625" w:type="dxa"/>
            <w:vAlign w:val="top"/>
          </w:tcPr>
          <w:p>
            <w:pPr>
              <w:pStyle w:val="TableText"/>
              <w:ind w:left="720"/>
              <w:spacing w:before="109" w:line="219" w:lineRule="auto"/>
              <w:rPr/>
            </w:pPr>
            <w:r>
              <w:rPr>
                <w:spacing w:val="-3"/>
              </w:rPr>
              <w:t>主料消耗量</w:t>
            </w:r>
          </w:p>
        </w:tc>
        <w:tc>
          <w:tcPr>
            <w:tcW w:w="2780" w:type="dxa"/>
            <w:vAlign w:val="top"/>
          </w:tcPr>
          <w:p>
            <w:pPr>
              <w:pStyle w:val="TableText"/>
              <w:ind w:left="679"/>
              <w:spacing w:before="109" w:line="219" w:lineRule="auto"/>
              <w:rPr/>
            </w:pPr>
            <w:r>
              <w:rPr>
                <w:spacing w:val="-3"/>
              </w:rPr>
              <w:t>企业生产报表</w:t>
            </w:r>
          </w:p>
        </w:tc>
      </w:tr>
      <w:tr>
        <w:trPr>
          <w:trHeight w:val="458" w:hRule="atLeast"/>
        </w:trPr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221" w:lineRule="auto"/>
              <w:rPr/>
            </w:pPr>
            <w:r>
              <w:rPr>
                <w:spacing w:val="-10"/>
              </w:rPr>
              <w:t>能源</w:t>
            </w:r>
          </w:p>
        </w:tc>
        <w:tc>
          <w:tcPr>
            <w:tcW w:w="2625" w:type="dxa"/>
            <w:vAlign w:val="top"/>
          </w:tcPr>
          <w:p>
            <w:pPr>
              <w:pStyle w:val="TableText"/>
              <w:ind w:left="1226"/>
              <w:spacing w:before="109" w:line="225" w:lineRule="auto"/>
              <w:rPr/>
            </w:pPr>
            <w:r>
              <w:rPr/>
              <w:t>电</w:t>
            </w:r>
          </w:p>
        </w:tc>
        <w:tc>
          <w:tcPr>
            <w:tcW w:w="2780" w:type="dxa"/>
            <w:vAlign w:val="top"/>
          </w:tcPr>
          <w:p>
            <w:pPr>
              <w:pStyle w:val="TableText"/>
              <w:ind w:left="679"/>
              <w:spacing w:before="109" w:line="219" w:lineRule="auto"/>
              <w:rPr/>
            </w:pPr>
            <w:r>
              <w:rPr>
                <w:spacing w:val="-3"/>
              </w:rPr>
              <w:t>企业生产报表</w:t>
            </w:r>
          </w:p>
        </w:tc>
      </w:tr>
      <w:tr>
        <w:trPr>
          <w:trHeight w:val="458" w:hRule="atLeast"/>
        </w:trPr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5" w:type="dxa"/>
            <w:vAlign w:val="top"/>
          </w:tcPr>
          <w:p>
            <w:pPr>
              <w:pStyle w:val="TableText"/>
              <w:ind w:left="1078"/>
              <w:spacing w:before="111" w:line="220" w:lineRule="auto"/>
              <w:rPr/>
            </w:pPr>
            <w:r>
              <w:rPr>
                <w:spacing w:val="-5"/>
              </w:rPr>
              <w:t>柴油</w:t>
            </w:r>
          </w:p>
        </w:tc>
        <w:tc>
          <w:tcPr>
            <w:tcW w:w="2780" w:type="dxa"/>
            <w:vAlign w:val="top"/>
          </w:tcPr>
          <w:p>
            <w:pPr>
              <w:pStyle w:val="TableText"/>
              <w:ind w:left="679"/>
              <w:spacing w:before="112" w:line="219" w:lineRule="auto"/>
              <w:rPr/>
            </w:pPr>
            <w:r>
              <w:rPr>
                <w:spacing w:val="-3"/>
              </w:rPr>
              <w:t>企业生产报表</w:t>
            </w:r>
          </w:p>
        </w:tc>
      </w:tr>
      <w:tr>
        <w:trPr>
          <w:trHeight w:val="458" w:hRule="atLeast"/>
        </w:trPr>
        <w:tc>
          <w:tcPr>
            <w:tcW w:w="187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8" w:line="219" w:lineRule="auto"/>
              <w:rPr/>
            </w:pPr>
            <w:r>
              <w:rPr>
                <w:spacing w:val="-3"/>
              </w:rPr>
              <w:t>次级活动数据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386"/>
              <w:spacing w:before="112" w:line="219" w:lineRule="auto"/>
              <w:rPr/>
            </w:pPr>
            <w:r>
              <w:rPr>
                <w:spacing w:val="-5"/>
              </w:rPr>
              <w:t>运输</w:t>
            </w:r>
          </w:p>
        </w:tc>
        <w:tc>
          <w:tcPr>
            <w:tcW w:w="2625" w:type="dxa"/>
            <w:vAlign w:val="top"/>
          </w:tcPr>
          <w:p>
            <w:pPr>
              <w:pStyle w:val="TableText"/>
              <w:ind w:left="600"/>
              <w:spacing w:before="112" w:line="219" w:lineRule="auto"/>
              <w:rPr/>
            </w:pPr>
            <w:r>
              <w:rPr>
                <w:spacing w:val="-2"/>
              </w:rPr>
              <w:t>主料运输距离</w:t>
            </w:r>
          </w:p>
        </w:tc>
        <w:tc>
          <w:tcPr>
            <w:tcW w:w="2780" w:type="dxa"/>
            <w:vAlign w:val="top"/>
          </w:tcPr>
          <w:p>
            <w:pPr>
              <w:pStyle w:val="TableText"/>
              <w:ind w:left="435"/>
              <w:spacing w:before="111" w:line="218" w:lineRule="auto"/>
              <w:rPr/>
            </w:pPr>
            <w:r>
              <w:rPr>
                <w:spacing w:val="-2"/>
              </w:rPr>
              <w:t>根据厂商地址估算</w:t>
            </w:r>
          </w:p>
        </w:tc>
      </w:tr>
      <w:tr>
        <w:trPr>
          <w:trHeight w:val="459" w:hRule="atLeast"/>
        </w:trPr>
        <w:tc>
          <w:tcPr>
            <w:tcW w:w="1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8" w:line="220" w:lineRule="auto"/>
              <w:rPr/>
            </w:pPr>
            <w:r>
              <w:rPr>
                <w:spacing w:val="-3"/>
              </w:rPr>
              <w:t>排放因子</w:t>
            </w:r>
          </w:p>
        </w:tc>
        <w:tc>
          <w:tcPr>
            <w:tcW w:w="2625" w:type="dxa"/>
            <w:vAlign w:val="top"/>
          </w:tcPr>
          <w:p>
            <w:pPr>
              <w:pStyle w:val="TableText"/>
              <w:ind w:left="840"/>
              <w:spacing w:before="112" w:line="220" w:lineRule="auto"/>
              <w:rPr/>
            </w:pPr>
            <w:r>
              <w:rPr>
                <w:spacing w:val="-3"/>
              </w:rPr>
              <w:t>主料制造</w:t>
            </w:r>
          </w:p>
        </w:tc>
        <w:tc>
          <w:tcPr>
            <w:tcW w:w="2780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78" w:line="219" w:lineRule="auto"/>
              <w:rPr/>
            </w:pPr>
            <w:r>
              <w:rPr>
                <w:spacing w:val="-2"/>
              </w:rPr>
              <w:t>数据库及文献资料</w:t>
            </w:r>
          </w:p>
        </w:tc>
      </w:tr>
      <w:tr>
        <w:trPr>
          <w:trHeight w:val="463" w:hRule="atLeast"/>
        </w:trPr>
        <w:tc>
          <w:tcPr>
            <w:tcW w:w="1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5" w:type="dxa"/>
            <w:vAlign w:val="top"/>
          </w:tcPr>
          <w:p>
            <w:pPr>
              <w:pStyle w:val="TableText"/>
              <w:ind w:left="840"/>
              <w:spacing w:before="114" w:line="219" w:lineRule="auto"/>
              <w:rPr/>
            </w:pPr>
            <w:r>
              <w:rPr>
                <w:spacing w:val="-3"/>
              </w:rPr>
              <w:t>主料运输</w:t>
            </w:r>
          </w:p>
        </w:tc>
        <w:tc>
          <w:tcPr>
            <w:tcW w:w="2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17"/>
        <w:spacing w:before="273" w:line="225" w:lineRule="auto"/>
        <w:outlineLvl w:val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3.3 </w:t>
      </w:r>
      <w:r>
        <w:rPr>
          <w:sz w:val="31"/>
          <w:szCs w:val="31"/>
          <w:b/>
          <w:bCs/>
          <w:spacing w:val="5"/>
        </w:rPr>
        <w:t>产品工艺流程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22" w:right="112" w:firstLine="564"/>
        <w:spacing w:before="91" w:line="402" w:lineRule="auto"/>
        <w:rPr/>
      </w:pPr>
      <w:r>
        <w:rPr>
          <w:spacing w:val="3"/>
        </w:rPr>
        <w:t>企业产品为其他非金属矿物制品，</w:t>
      </w: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年产品主要为机制砂、</w:t>
      </w:r>
      <w:r>
        <w:rPr>
          <w:spacing w:val="10"/>
        </w:rPr>
        <w:t xml:space="preserve"> </w:t>
      </w:r>
      <w:r>
        <w:rPr>
          <w:spacing w:val="-4"/>
        </w:rPr>
        <w:t>碎石。是以土石料、护坡石、废土等建筑垃圾为原料，经破碎、筛分</w:t>
      </w:r>
      <w:r>
        <w:rPr>
          <w:spacing w:val="15"/>
        </w:rPr>
        <w:t xml:space="preserve"> </w:t>
      </w:r>
      <w:r>
        <w:rPr>
          <w:spacing w:val="-2"/>
        </w:rPr>
        <w:t>等工艺加工形成。</w:t>
      </w:r>
    </w:p>
    <w:p>
      <w:pPr>
        <w:pStyle w:val="BodyText"/>
        <w:ind w:left="685"/>
        <w:spacing w:before="41" w:line="220" w:lineRule="auto"/>
        <w:rPr/>
      </w:pPr>
      <w:r>
        <w:rPr>
          <w:spacing w:val="-2"/>
        </w:rPr>
        <w:t>车间生产工艺流程：</w:t>
      </w:r>
    </w:p>
    <w:p>
      <w:pPr>
        <w:ind w:firstLine="112"/>
        <w:spacing w:before="240" w:line="4124" w:lineRule="exact"/>
        <w:rPr/>
      </w:pPr>
      <w:r>
        <w:rPr>
          <w:position w:val="-82"/>
        </w:rPr>
        <w:drawing>
          <wp:inline distT="0" distB="0" distL="0" distR="0">
            <wp:extent cx="5271515" cy="261823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1515" cy="261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52"/>
        <w:spacing w:before="294" w:line="220" w:lineRule="auto"/>
        <w:rPr/>
      </w:pPr>
      <w:r>
        <w:rPr>
          <w:b/>
          <w:bCs/>
          <w:spacing w:val="-5"/>
        </w:rPr>
        <w:t>图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2    </w:t>
      </w:r>
      <w:r>
        <w:rPr>
          <w:b/>
          <w:bCs/>
          <w:spacing w:val="-5"/>
        </w:rPr>
        <w:t>车间生产工艺流程图</w:t>
      </w:r>
    </w:p>
    <w:p>
      <w:pPr>
        <w:spacing w:line="220" w:lineRule="auto"/>
        <w:sectPr>
          <w:footerReference w:type="default" r:id="rId10"/>
          <w:pgSz w:w="11906" w:h="16839"/>
          <w:pgMar w:top="400" w:right="1687" w:bottom="1176" w:left="1687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1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）原料运输、储存和输送</w:t>
      </w:r>
    </w:p>
    <w:p>
      <w:pPr>
        <w:pStyle w:val="BodyText"/>
        <w:ind w:left="23" w:firstLine="565"/>
        <w:spacing w:before="289" w:line="398" w:lineRule="auto"/>
        <w:rPr/>
      </w:pPr>
      <w:r>
        <w:rPr>
          <w:spacing w:val="-6"/>
        </w:rPr>
        <w:t>外购的原料建筑垃圾均为块状，由苫盖的密闭运输车辆运至厂内，</w:t>
      </w:r>
      <w:r>
        <w:rPr/>
        <w:t xml:space="preserve"> </w:t>
      </w:r>
      <w:r>
        <w:rPr>
          <w:spacing w:val="-1"/>
        </w:rPr>
        <w:t>在生产车间原料区贮存，生产时由铲车将原料装入给料机内。</w:t>
      </w:r>
    </w:p>
    <w:p>
      <w:pPr>
        <w:pStyle w:val="BodyText"/>
        <w:ind w:left="23" w:right="215" w:firstLine="562"/>
        <w:spacing w:before="43" w:line="402" w:lineRule="auto"/>
        <w:rPr/>
      </w:pPr>
      <w:r>
        <w:rPr>
          <w:spacing w:val="-4"/>
        </w:rPr>
        <w:t>生产车间内原料棚采用钢结构四面围挡，呈封闭性结构，留门进</w:t>
      </w:r>
      <w:r>
        <w:rPr>
          <w:spacing w:val="5"/>
        </w:rPr>
        <w:t xml:space="preserve"> </w:t>
      </w:r>
      <w:r>
        <w:rPr>
          <w:spacing w:val="-4"/>
        </w:rPr>
        <w:t>出料，上方设置喷水抑尘装置，装卸车时喷水抑尘；卸料时采用雾炮</w:t>
      </w:r>
      <w:r>
        <w:rPr>
          <w:spacing w:val="15"/>
        </w:rPr>
        <w:t xml:space="preserve"> </w:t>
      </w:r>
      <w:r>
        <w:rPr>
          <w:spacing w:val="-1"/>
        </w:rPr>
        <w:t>对产尘点加强降尘。</w:t>
      </w:r>
    </w:p>
    <w:p>
      <w:pPr>
        <w:pStyle w:val="BodyText"/>
        <w:ind w:left="25" w:right="184" w:firstLine="558"/>
        <w:spacing w:before="39" w:line="405" w:lineRule="auto"/>
        <w:jc w:val="both"/>
        <w:rPr/>
      </w:pPr>
      <w:r>
        <w:rPr>
          <w:spacing w:val="-3"/>
        </w:rPr>
        <w:t>在厂区大门口设置洗车平台（侧向全覆盖式强制喷淋清洗设施，</w:t>
      </w:r>
      <w:r>
        <w:rPr>
          <w:spacing w:val="11"/>
        </w:rPr>
        <w:t xml:space="preserve"> </w:t>
      </w:r>
      <w:r>
        <w:rPr>
          <w:spacing w:val="-4"/>
        </w:rPr>
        <w:t>清洗设施应保证车辆冲洗效果，地面至少设置一排花式喷射喷头）及</w:t>
      </w:r>
      <w:r>
        <w:rPr>
          <w:spacing w:val="14"/>
        </w:rPr>
        <w:t xml:space="preserve"> </w:t>
      </w:r>
      <w:r>
        <w:rPr>
          <w:spacing w:val="-3"/>
        </w:rPr>
        <w:t>沉淀池（洗车废水沉淀后循环使用</w:t>
      </w:r>
      <w:r>
        <w:rPr>
          <w:spacing w:val="-11"/>
        </w:rPr>
        <w:t>），</w:t>
      </w:r>
      <w:r>
        <w:rPr>
          <w:spacing w:val="-3"/>
        </w:rPr>
        <w:t>对进出车辆进行冲洗，彻底清</w:t>
      </w:r>
      <w:r>
        <w:rPr/>
        <w:t xml:space="preserve"> </w:t>
      </w:r>
      <w:r>
        <w:rPr>
          <w:spacing w:val="-1"/>
        </w:rPr>
        <w:t>除车辆底盘及轮胎泥土，防止车辆带泥上路造成的扬尘污染。</w:t>
      </w:r>
    </w:p>
    <w:p>
      <w:pPr>
        <w:pStyle w:val="BodyText"/>
        <w:ind w:left="592"/>
        <w:spacing w:before="40" w:line="221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）人工分选</w:t>
      </w:r>
    </w:p>
    <w:p>
      <w:pPr>
        <w:pStyle w:val="BodyText"/>
        <w:ind w:left="22" w:right="117" w:firstLine="564"/>
        <w:spacing w:before="290" w:line="406" w:lineRule="auto"/>
        <w:rPr/>
      </w:pPr>
      <w:r>
        <w:rPr>
          <w:spacing w:val="-10"/>
        </w:rPr>
        <w:t>建筑垃圾通过人工分选，将里面的废钢筋、废保温材料、废岩棉、</w:t>
      </w:r>
      <w:r>
        <w:rPr/>
        <w:t xml:space="preserve"> </w:t>
      </w:r>
      <w:r>
        <w:rPr>
          <w:spacing w:val="-4"/>
        </w:rPr>
        <w:t>废玻璃钢、废非金属包装物、海绵胶管、保温板、废石膏等拣出，并</w:t>
      </w:r>
      <w:r>
        <w:rPr>
          <w:spacing w:val="16"/>
        </w:rPr>
        <w:t xml:space="preserve"> </w:t>
      </w:r>
      <w:r>
        <w:rPr>
          <w:spacing w:val="-4"/>
        </w:rPr>
        <w:t>进行分类，可回收的废钢筋等外售处理，不可回收的交由环卫部门处</w:t>
      </w:r>
      <w:r>
        <w:rPr>
          <w:spacing w:val="16"/>
        </w:rPr>
        <w:t xml:space="preserve"> </w:t>
      </w:r>
      <w:r>
        <w:rPr>
          <w:spacing w:val="-4"/>
        </w:rPr>
        <w:t>置。</w:t>
      </w:r>
    </w:p>
    <w:p>
      <w:pPr>
        <w:pStyle w:val="BodyText"/>
        <w:ind w:left="592"/>
        <w:spacing w:before="32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）上料、颚式破碎</w:t>
      </w:r>
    </w:p>
    <w:p>
      <w:pPr>
        <w:pStyle w:val="BodyText"/>
        <w:ind w:left="23" w:right="215" w:firstLine="562"/>
        <w:spacing w:before="287" w:line="405" w:lineRule="auto"/>
        <w:rPr/>
      </w:pPr>
      <w:r>
        <w:rPr>
          <w:spacing w:val="-4"/>
        </w:rPr>
        <w:t>生产时，外购原料由铲车喂入给料机料斗内。给料机与颚式破碎</w:t>
      </w:r>
      <w:r>
        <w:rPr>
          <w:spacing w:val="5"/>
        </w:rPr>
        <w:t xml:space="preserve"> </w:t>
      </w:r>
      <w:r>
        <w:rPr>
          <w:spacing w:val="-4"/>
        </w:rPr>
        <w:t>机连接，物料通过给料机给料槽均匀的送至密闭颚式破碎机进行初步</w:t>
      </w:r>
      <w:r>
        <w:rPr>
          <w:spacing w:val="15"/>
        </w:rPr>
        <w:t xml:space="preserve"> </w:t>
      </w:r>
      <w:r>
        <w:rPr>
          <w:spacing w:val="-4"/>
        </w:rPr>
        <w:t>破碎，破碎后的物料掉落至底部输送带，通过密闭输送带输送至下一</w:t>
      </w:r>
      <w:r>
        <w:rPr>
          <w:spacing w:val="15"/>
        </w:rPr>
        <w:t xml:space="preserve"> </w:t>
      </w:r>
      <w:r>
        <w:rPr>
          <w:spacing w:val="-2"/>
        </w:rPr>
        <w:t>道工序破碎机。</w:t>
      </w:r>
    </w:p>
    <w:p>
      <w:pPr>
        <w:pStyle w:val="BodyText"/>
        <w:ind w:left="27" w:right="215" w:firstLine="558"/>
        <w:spacing w:before="41" w:line="398" w:lineRule="auto"/>
        <w:rPr/>
      </w:pPr>
      <w:r>
        <w:rPr>
          <w:spacing w:val="-9"/>
        </w:rPr>
        <w:t>颚破机的工作部分是两块颚板，一是固定颚板（定颚</w:t>
      </w:r>
      <w:r>
        <w:rPr>
          <w:spacing w:val="-72"/>
        </w:rPr>
        <w:t>），</w:t>
      </w:r>
      <w:r>
        <w:rPr>
          <w:spacing w:val="-9"/>
        </w:rPr>
        <w:t>垂直（或</w:t>
      </w:r>
      <w:r>
        <w:rPr>
          <w:spacing w:val="1"/>
        </w:rPr>
        <w:t xml:space="preserve"> </w:t>
      </w:r>
      <w:r>
        <w:rPr>
          <w:spacing w:val="-3"/>
        </w:rPr>
        <w:t>上端略外倾）固定在机体前壁上，另一是活动颚板（动颚</w:t>
      </w:r>
      <w:r>
        <w:rPr>
          <w:spacing w:val="-12"/>
        </w:rPr>
        <w:t>），</w:t>
      </w:r>
      <w:r>
        <w:rPr>
          <w:spacing w:val="-3"/>
        </w:rPr>
        <w:t>位置倾</w:t>
      </w:r>
    </w:p>
    <w:p>
      <w:pPr>
        <w:spacing w:line="398" w:lineRule="auto"/>
        <w:sectPr>
          <w:footerReference w:type="default" r:id="rId12"/>
          <w:pgSz w:w="11906" w:h="16839"/>
          <w:pgMar w:top="400" w:right="1584" w:bottom="1173" w:left="1785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3" w:right="52"/>
        <w:spacing w:before="91" w:line="405" w:lineRule="auto"/>
        <w:jc w:val="both"/>
        <w:rPr/>
      </w:pPr>
      <w:r>
        <w:rPr>
          <w:spacing w:val="-4"/>
        </w:rPr>
        <w:t>斜，与固定颚板形成上大下小的破碎腔（工作腔）。活动颚板对着固</w:t>
      </w:r>
      <w:r>
        <w:rPr>
          <w:spacing w:val="15"/>
        </w:rPr>
        <w:t xml:space="preserve"> </w:t>
      </w:r>
      <w:r>
        <w:rPr>
          <w:spacing w:val="-4"/>
        </w:rPr>
        <w:t>定颚板做周期性的往复运动，时而分开，时而靠近。分开时，物料进</w:t>
      </w:r>
      <w:r>
        <w:rPr>
          <w:spacing w:val="15"/>
        </w:rPr>
        <w:t xml:space="preserve"> </w:t>
      </w:r>
      <w:r>
        <w:rPr>
          <w:spacing w:val="-4"/>
        </w:rPr>
        <w:t>入破碎腔，成品从下部卸出；靠近时，使装在两块颚板之间的物料受</w:t>
      </w:r>
      <w:r>
        <w:rPr>
          <w:spacing w:val="15"/>
        </w:rPr>
        <w:t xml:space="preserve"> </w:t>
      </w:r>
      <w:r>
        <w:rPr>
          <w:spacing w:val="-1"/>
        </w:rPr>
        <w:t>到挤压，弯折和劈裂作用而破碎。</w:t>
      </w:r>
    </w:p>
    <w:p>
      <w:pPr>
        <w:pStyle w:val="BodyText"/>
        <w:ind w:left="592"/>
        <w:spacing w:before="40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）破碎、筛分</w:t>
      </w:r>
    </w:p>
    <w:p>
      <w:pPr>
        <w:pStyle w:val="BodyText"/>
        <w:ind w:left="23" w:firstLine="560"/>
        <w:spacing w:before="290" w:line="408" w:lineRule="auto"/>
        <w:rPr/>
      </w:pPr>
      <w:r>
        <w:rPr>
          <w:spacing w:val="-2"/>
        </w:rPr>
        <w:t>鄂破后的粗料由密闭输送带输送至密闭破碎机进行进一步破碎。</w:t>
      </w:r>
      <w:r>
        <w:rPr>
          <w:spacing w:val="3"/>
        </w:rPr>
        <w:t xml:space="preserve"> </w:t>
      </w:r>
      <w:r>
        <w:rPr>
          <w:spacing w:val="-4"/>
        </w:rPr>
        <w:t>破碎机主要是靠冲击能来完成破碎物料作业的。破碎机工作时，电机</w:t>
      </w:r>
      <w:r>
        <w:rPr>
          <w:spacing w:val="15"/>
        </w:rPr>
        <w:t xml:space="preserve"> </w:t>
      </w:r>
      <w:r>
        <w:rPr>
          <w:spacing w:val="-4"/>
        </w:rPr>
        <w:t>带动转子作高速旋转，物料均匀的进入破碎机腔中，高速回转的锤头</w:t>
      </w:r>
      <w:r>
        <w:rPr>
          <w:spacing w:val="15"/>
        </w:rPr>
        <w:t xml:space="preserve"> </w:t>
      </w:r>
      <w:r>
        <w:rPr>
          <w:spacing w:val="-4"/>
        </w:rPr>
        <w:t>冲击、剪切撕裂物料致物料被破碎，同时，物料自身的重力作用使物</w:t>
      </w:r>
      <w:r>
        <w:rPr>
          <w:spacing w:val="15"/>
        </w:rPr>
        <w:t xml:space="preserve"> </w:t>
      </w:r>
      <w:r>
        <w:rPr>
          <w:spacing w:val="-4"/>
        </w:rPr>
        <w:t>料从高速旋转的锤头冲向架体内挡板、筛条，大于筛孔尺寸的物料阻</w:t>
      </w:r>
      <w:r>
        <w:rPr>
          <w:spacing w:val="15"/>
        </w:rPr>
        <w:t xml:space="preserve"> </w:t>
      </w:r>
      <w:r>
        <w:rPr>
          <w:spacing w:val="-2"/>
        </w:rPr>
        <w:t>留在筛板上继续受到锤子的打击和研磨，直到破碎至所需出料粒度，</w:t>
      </w:r>
      <w:r>
        <w:rPr>
          <w:spacing w:val="8"/>
        </w:rPr>
        <w:t xml:space="preserve"> </w:t>
      </w:r>
      <w:r>
        <w:rPr>
          <w:spacing w:val="-5"/>
        </w:rPr>
        <w:t>破碎机破碎后的物料经输送带进入振动筛分机筛分，筛上物（粒径＞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3cm</w:t>
      </w:r>
      <w:r>
        <w:rPr>
          <w:spacing w:val="-1"/>
        </w:rPr>
        <w:t>）经输送带返回破碎机，筛下物进入制砂机。</w:t>
      </w:r>
    </w:p>
    <w:p>
      <w:pPr>
        <w:pStyle w:val="BodyText"/>
        <w:ind w:left="592"/>
        <w:spacing w:before="41" w:line="221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）制砂</w:t>
      </w:r>
    </w:p>
    <w:p>
      <w:pPr>
        <w:pStyle w:val="BodyText"/>
        <w:ind w:left="23" w:right="52" w:firstLine="559"/>
        <w:spacing w:before="287" w:line="407" w:lineRule="auto"/>
        <w:rPr/>
      </w:pPr>
      <w:r>
        <w:rPr>
          <w:spacing w:val="-4"/>
        </w:rPr>
        <w:t>破碎后的物料由密闭输送带送至密闭制砂机进行整形制砂：物料</w:t>
      </w:r>
      <w:r>
        <w:rPr>
          <w:spacing w:val="8"/>
        </w:rPr>
        <w:t xml:space="preserve"> </w:t>
      </w:r>
      <w:r>
        <w:rPr>
          <w:spacing w:val="-4"/>
        </w:rPr>
        <w:t>落入进料斗，经中心进料孔进入高速旋转的转子后被充分加速并经发</w:t>
      </w:r>
      <w:r>
        <w:rPr>
          <w:spacing w:val="15"/>
        </w:rPr>
        <w:t xml:space="preserve"> </w:t>
      </w:r>
      <w:r>
        <w:rPr>
          <w:spacing w:val="-4"/>
        </w:rPr>
        <w:t>射口抛出，首先与反弹后自由下落的一部分物料进行撞击，然后一起</w:t>
      </w:r>
      <w:r>
        <w:rPr>
          <w:spacing w:val="15"/>
        </w:rPr>
        <w:t xml:space="preserve"> </w:t>
      </w:r>
      <w:r>
        <w:rPr>
          <w:spacing w:val="-2"/>
        </w:rPr>
        <w:t>冲击到周围的涡流腔内的涡状料衬上（或反击块上</w:t>
      </w:r>
      <w:r>
        <w:rPr>
          <w:spacing w:val="-24"/>
        </w:rPr>
        <w:t>），</w:t>
      </w:r>
      <w:r>
        <w:rPr>
          <w:spacing w:val="-2"/>
        </w:rPr>
        <w:t>先被反弹</w:t>
      </w:r>
      <w:r>
        <w:rPr>
          <w:spacing w:val="-3"/>
        </w:rPr>
        <w:t>到破</w:t>
      </w:r>
      <w:r>
        <w:rPr>
          <w:spacing w:val="1"/>
        </w:rPr>
        <w:t xml:space="preserve"> </w:t>
      </w:r>
      <w:r>
        <w:rPr>
          <w:spacing w:val="-4"/>
        </w:rPr>
        <w:t>碎腔的顶部，后偏转向下运动，与从叶轮流道发射出来的物料撞击形</w:t>
      </w:r>
      <w:r>
        <w:rPr>
          <w:spacing w:val="15"/>
        </w:rPr>
        <w:t xml:space="preserve"> </w:t>
      </w:r>
      <w:r>
        <w:rPr>
          <w:spacing w:val="-1"/>
        </w:rPr>
        <w:t>成连续的物料幕，最后经由下部排料口排出。</w:t>
      </w:r>
    </w:p>
    <w:p>
      <w:pPr>
        <w:pStyle w:val="BodyText"/>
        <w:ind w:left="592"/>
        <w:spacing w:before="42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）分筛</w:t>
      </w:r>
    </w:p>
    <w:p>
      <w:pPr>
        <w:pStyle w:val="BodyText"/>
        <w:ind w:left="585"/>
        <w:spacing w:before="291" w:line="219" w:lineRule="auto"/>
        <w:rPr/>
      </w:pPr>
      <w:r>
        <w:rPr>
          <w:spacing w:val="-4"/>
        </w:rPr>
        <w:t>制砂工序制得的物料通过制砂机配套的振动筛进行筛分，振动筛</w:t>
      </w:r>
    </w:p>
    <w:p>
      <w:pPr>
        <w:spacing w:line="219" w:lineRule="auto"/>
        <w:sectPr>
          <w:footerReference w:type="default" r:id="rId13"/>
          <w:pgSz w:w="11906" w:h="16839"/>
          <w:pgMar w:top="400" w:right="1747" w:bottom="1176" w:left="1785" w:header="0" w:footer="98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4" w:right="43" w:firstLine="1"/>
        <w:spacing w:before="91" w:line="406" w:lineRule="auto"/>
        <w:jc w:val="both"/>
        <w:rPr/>
      </w:pPr>
      <w:r>
        <w:rPr>
          <w:spacing w:val="-4"/>
        </w:rPr>
        <w:t>筛分完成后通过转筛再次进行筛分，以此满足原料各粒径要求，骨料</w:t>
      </w:r>
      <w:r>
        <w:rPr>
          <w:spacing w:val="12"/>
        </w:rPr>
        <w:t xml:space="preserve"> </w:t>
      </w:r>
      <w:r>
        <w:rPr>
          <w:spacing w:val="-2"/>
        </w:rPr>
        <w:t>经筛分工序最终制得不同粒径的成品机制砂，成品粒径分为＜</w:t>
      </w:r>
      <w:r>
        <w:rPr>
          <w:rFonts w:ascii="Times New Roman" w:hAnsi="Times New Roman" w:eastAsia="Times New Roman" w:cs="Times New Roman"/>
          <w:spacing w:val="-2"/>
        </w:rPr>
        <w:t>3mm</w:t>
      </w:r>
      <w:r>
        <w:rPr>
          <w:spacing w:val="-2"/>
        </w:rPr>
        <w:t>、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3mm~5mm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5mm~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10mm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4"/>
        </w:rPr>
        <w:t>，其中筛上＞</w:t>
      </w:r>
      <w:r>
        <w:rPr>
          <w:rFonts w:ascii="Times New Roman" w:hAnsi="Times New Roman" w:eastAsia="Times New Roman" w:cs="Times New Roman"/>
          <w:spacing w:val="-4"/>
        </w:rPr>
        <w:t>10mm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的物料通过输送带重新</w:t>
      </w:r>
      <w:r>
        <w:rPr/>
        <w:t xml:space="preserve"> </w:t>
      </w:r>
      <w:r>
        <w:rPr>
          <w:spacing w:val="3"/>
        </w:rPr>
        <w:t>回到破碎机进行破碎。小于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3"/>
        </w:rPr>
        <w:t>粒径石子，直</w:t>
      </w:r>
      <w:r>
        <w:rPr>
          <w:spacing w:val="2"/>
        </w:rPr>
        <w:t>接进入选粉机，出料</w:t>
      </w:r>
      <w:r>
        <w:rPr/>
        <w:t xml:space="preserve"> </w:t>
      </w:r>
      <w:r>
        <w:rPr>
          <w:spacing w:val="-3"/>
        </w:rPr>
        <w:t>即为产品。</w:t>
      </w:r>
    </w:p>
    <w:p>
      <w:pPr>
        <w:pStyle w:val="BodyText"/>
        <w:ind w:left="120"/>
        <w:spacing w:before="261" w:line="225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4.</w:t>
      </w:r>
      <w:r>
        <w:rPr>
          <w:sz w:val="31"/>
          <w:szCs w:val="31"/>
          <w:b/>
          <w:bCs/>
          <w:spacing w:val="5"/>
        </w:rPr>
        <w:t>碳足迹计算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34" w:right="59" w:firstLine="548"/>
        <w:spacing w:before="91" w:line="374" w:lineRule="auto"/>
        <w:rPr/>
      </w:pPr>
      <w:r>
        <w:rPr>
          <w:spacing w:val="-2"/>
        </w:rPr>
        <w:t>产品碳足迹的公式是整个产品生命周期中所有活动的所有材料、</w:t>
      </w:r>
      <w:r>
        <w:rPr>
          <w:spacing w:val="3"/>
        </w:rPr>
        <w:t xml:space="preserve"> </w:t>
      </w:r>
      <w:r>
        <w:rPr>
          <w:spacing w:val="-1"/>
        </w:rPr>
        <w:t>能源和废物乘以其排放因子后再加和。其计算公式如下：</w:t>
      </w:r>
    </w:p>
    <w:p>
      <w:pPr>
        <w:ind w:firstLine="148"/>
        <w:spacing w:line="1752" w:lineRule="exact"/>
        <w:rPr/>
      </w:pPr>
      <w:r>
        <w:rPr>
          <w:position w:val="-35"/>
        </w:rPr>
        <w:drawing>
          <wp:inline distT="0" distB="0" distL="0" distR="0">
            <wp:extent cx="5219700" cy="111252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97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 w:right="112" w:firstLine="560"/>
        <w:spacing w:before="233" w:line="405" w:lineRule="auto"/>
        <w:jc w:val="both"/>
        <w:rPr/>
      </w:pPr>
      <w:r>
        <w:rPr>
          <w:spacing w:val="-1"/>
        </w:rPr>
        <w:t>其中，</w:t>
      </w:r>
      <w:r>
        <w:rPr>
          <w:rFonts w:ascii="Times New Roman" w:hAnsi="Times New Roman" w:eastAsia="Times New Roman" w:cs="Times New Roman"/>
          <w:spacing w:val="-1"/>
        </w:rPr>
        <w:t>CF </w:t>
      </w:r>
      <w:r>
        <w:rPr>
          <w:spacing w:val="-1"/>
        </w:rPr>
        <w:t>为碳足迹，</w:t>
      </w:r>
      <w:r>
        <w:rPr>
          <w:rFonts w:ascii="Times New Roman" w:hAnsi="Times New Roman" w:eastAsia="Times New Roman" w:cs="Times New Roman"/>
          <w:spacing w:val="-1"/>
        </w:rPr>
        <w:t>P </w:t>
      </w:r>
      <w:r>
        <w:rPr>
          <w:spacing w:val="-1"/>
        </w:rPr>
        <w:t>为活动水平数据，</w:t>
      </w:r>
      <w:r>
        <w:rPr>
          <w:rFonts w:ascii="Times New Roman" w:hAnsi="Times New Roman" w:eastAsia="Times New Roman" w:cs="Times New Roman"/>
          <w:spacing w:val="-1"/>
        </w:rPr>
        <w:t>Q </w:t>
      </w:r>
      <w:r>
        <w:rPr>
          <w:spacing w:val="-1"/>
        </w:rPr>
        <w:t>为排放因子，</w:t>
      </w:r>
      <w:r>
        <w:rPr>
          <w:rFonts w:ascii="Times New Roman" w:hAnsi="Times New Roman" w:eastAsia="Times New Roman" w:cs="Times New Roman"/>
          <w:spacing w:val="-1"/>
        </w:rPr>
        <w:t>GWP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4"/>
        </w:rPr>
        <w:t>为全球变暖潜势值。排放因子源于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CLCD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数据库和相关文献，由于</w:t>
      </w:r>
      <w:r>
        <w:rPr/>
        <w:t xml:space="preserve"> </w:t>
      </w:r>
      <w:r>
        <w:rPr>
          <w:spacing w:val="6"/>
        </w:rPr>
        <w:t>部分物料数据库中暂无排放因子，取值均来自于相近物料排放因子</w:t>
      </w:r>
      <w:r>
        <w:rPr/>
        <w:t xml:space="preserve"> </w:t>
      </w:r>
      <w:r>
        <w:rPr>
          <w:spacing w:val="6"/>
        </w:rPr>
        <w:t>（物料排放因子已根据相似物料排放因子与其自身碳含量比例进行</w:t>
      </w:r>
      <w:r>
        <w:rPr/>
        <w:t xml:space="preserve"> </w:t>
      </w:r>
      <w:r>
        <w:rPr>
          <w:spacing w:val="-3"/>
        </w:rPr>
        <w:t>缩减）。</w:t>
      </w:r>
    </w:p>
    <w:p>
      <w:pPr>
        <w:pStyle w:val="BodyText"/>
        <w:ind w:left="905"/>
        <w:spacing w:before="48" w:line="219" w:lineRule="auto"/>
        <w:rPr/>
      </w:pPr>
      <w:r>
        <w:rPr>
          <w:b/>
          <w:bCs/>
          <w:spacing w:val="-2"/>
        </w:rPr>
        <w:t>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2    2024 </w:t>
      </w:r>
      <w:r>
        <w:rPr>
          <w:b/>
          <w:bCs/>
          <w:spacing w:val="-2"/>
        </w:rPr>
        <w:t>年各产品能源、原材料及运输活动水平数据</w:t>
      </w:r>
    </w:p>
    <w:p>
      <w:pPr>
        <w:spacing w:line="119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9"/>
        <w:gridCol w:w="1545"/>
        <w:gridCol w:w="1601"/>
        <w:gridCol w:w="1227"/>
        <w:gridCol w:w="1393"/>
        <w:gridCol w:w="1471"/>
      </w:tblGrid>
      <w:tr>
        <w:trPr>
          <w:trHeight w:val="1255" w:hRule="atLeast"/>
        </w:trPr>
        <w:tc>
          <w:tcPr>
            <w:tcW w:w="12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61" w:firstLine="1"/>
              <w:spacing w:before="78" w:line="230" w:lineRule="auto"/>
              <w:rPr/>
            </w:pPr>
            <w:r>
              <w:rPr>
                <w:b/>
                <w:bCs/>
                <w:spacing w:val="-6"/>
              </w:rPr>
              <w:t>活动水平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数据名称</w:t>
            </w:r>
          </w:p>
        </w:tc>
        <w:tc>
          <w:tcPr>
            <w:tcW w:w="154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19" w:lineRule="auto"/>
              <w:rPr/>
            </w:pPr>
            <w:r>
              <w:rPr>
                <w:b/>
                <w:bCs/>
                <w:spacing w:val="-5"/>
              </w:rPr>
              <w:t>水平数据</w:t>
            </w:r>
          </w:p>
        </w:tc>
        <w:tc>
          <w:tcPr>
            <w:tcW w:w="16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6" w:firstLine="87"/>
              <w:spacing w:before="78" w:line="226" w:lineRule="auto"/>
              <w:rPr/>
            </w:pPr>
            <w:r>
              <w:rPr>
                <w:b/>
                <w:bCs/>
                <w:spacing w:val="-4"/>
              </w:rPr>
              <w:t>物料排放因</w:t>
            </w:r>
            <w:r>
              <w:rPr/>
              <w:t xml:space="preserve">  </w:t>
            </w:r>
            <w:r>
              <w:rPr>
                <w:b/>
                <w:bCs/>
                <w:spacing w:val="-28"/>
              </w:rPr>
              <w:t>子（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eq/t</w:t>
            </w:r>
            <w:r>
              <w:rPr>
                <w:b/>
                <w:bCs/>
                <w:spacing w:val="-3"/>
              </w:rPr>
              <w:t>）</w:t>
            </w:r>
          </w:p>
        </w:tc>
        <w:tc>
          <w:tcPr>
            <w:tcW w:w="122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 w:right="130" w:hanging="119"/>
              <w:spacing w:before="78" w:line="230" w:lineRule="auto"/>
              <w:rPr/>
            </w:pPr>
            <w:r>
              <w:rPr>
                <w:b/>
                <w:bCs/>
                <w:spacing w:val="-5"/>
              </w:rPr>
              <w:t>全球变暖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潜势值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55" w:right="212" w:hanging="333"/>
              <w:spacing w:before="198" w:line="23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5"/>
              </w:rPr>
              <w:t>碳排放量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2"/>
              </w:rPr>
              <w:t>t</w:t>
            </w:r>
          </w:p>
          <w:p>
            <w:pPr>
              <w:pStyle w:val="TableText"/>
              <w:ind w:left="246"/>
              <w:spacing w:before="10" w:line="21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eq</w:t>
            </w:r>
            <w:r>
              <w:rPr>
                <w:b/>
                <w:bCs/>
                <w:spacing w:val="-2"/>
              </w:rPr>
              <w:t>）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34" w:right="130" w:firstLine="155"/>
              <w:spacing w:before="43" w:line="231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1m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6"/>
                <w:position w:val="7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0"/>
                <w:position w:val="7"/>
              </w:rPr>
              <w:t xml:space="preserve"> </w:t>
            </w:r>
            <w:r>
              <w:rPr>
                <w:b/>
                <w:bCs/>
                <w:spacing w:val="-6"/>
              </w:rPr>
              <w:t>机制</w:t>
            </w:r>
            <w:r>
              <w:rPr/>
              <w:t xml:space="preserve">  </w:t>
            </w:r>
            <w:r>
              <w:rPr>
                <w:b/>
                <w:bCs/>
                <w:spacing w:val="-3"/>
              </w:rPr>
              <w:t>砂、碎石产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品碳排放量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eq</w:t>
            </w:r>
            <w:r>
              <w:rPr>
                <w:b/>
                <w:bCs/>
                <w:spacing w:val="-5"/>
              </w:rPr>
              <w:t>）</w:t>
            </w:r>
          </w:p>
        </w:tc>
      </w:tr>
      <w:tr>
        <w:trPr>
          <w:trHeight w:val="628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40" w:right="141" w:firstLine="269"/>
              <w:spacing w:before="38" w:line="223" w:lineRule="auto"/>
              <w:rPr/>
            </w:pPr>
            <w:r>
              <w:rPr>
                <w:spacing w:val="-5"/>
              </w:rPr>
              <w:t>产量</w:t>
            </w:r>
            <w:r>
              <w:rPr/>
              <w:t xml:space="preserve">   </w:t>
            </w:r>
            <w:r>
              <w:rPr>
                <w:spacing w:val="-9"/>
              </w:rPr>
              <w:t>（万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9"/>
                <w:position w:val="7"/>
              </w:rPr>
              <w:t>3</w:t>
            </w:r>
            <w:r>
              <w:rPr>
                <w:spacing w:val="-9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322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448.6912</w:t>
            </w:r>
          </w:p>
        </w:tc>
        <w:tc>
          <w:tcPr>
            <w:tcW w:w="1601" w:type="dxa"/>
            <w:vAlign w:val="top"/>
          </w:tcPr>
          <w:p>
            <w:pPr>
              <w:ind w:left="763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7" w:type="dxa"/>
            <w:vAlign w:val="top"/>
          </w:tcPr>
          <w:p>
            <w:pPr>
              <w:ind w:left="578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3" w:type="dxa"/>
            <w:vAlign w:val="top"/>
          </w:tcPr>
          <w:p>
            <w:pPr>
              <w:ind w:left="662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471" w:type="dxa"/>
            <w:vAlign w:val="top"/>
          </w:tcPr>
          <w:p>
            <w:pPr>
              <w:ind w:left="699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942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28" w:right="90" w:firstLine="69"/>
              <w:spacing w:before="38" w:line="229" w:lineRule="auto"/>
              <w:jc w:val="both"/>
              <w:rPr/>
            </w:pPr>
            <w:r>
              <w:rPr>
                <w:spacing w:val="-10"/>
              </w:rPr>
              <w:t>电力消耗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（万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kW</w:t>
            </w:r>
            <w:r>
              <w:rPr>
                <w:spacing w:val="-13"/>
              </w:rPr>
              <w:t>、</w:t>
            </w:r>
            <w:r>
              <w:rPr/>
              <w:t xml:space="preserve"> </w:t>
            </w:r>
            <w:r>
              <w:rPr>
                <w:spacing w:val="50"/>
              </w:rPr>
              <w:t>能源）</w:t>
            </w:r>
          </w:p>
        </w:tc>
        <w:tc>
          <w:tcPr>
            <w:tcW w:w="154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4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407.47</w:t>
            </w:r>
          </w:p>
        </w:tc>
        <w:tc>
          <w:tcPr>
            <w:tcW w:w="160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763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578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2268.793</w:t>
            </w:r>
          </w:p>
        </w:tc>
        <w:tc>
          <w:tcPr>
            <w:tcW w:w="147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0.506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400" w:right="1687" w:bottom="1176" w:left="1687" w:header="0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9"/>
        <w:gridCol w:w="1545"/>
        <w:gridCol w:w="1601"/>
        <w:gridCol w:w="1227"/>
        <w:gridCol w:w="1393"/>
        <w:gridCol w:w="1471"/>
      </w:tblGrid>
      <w:tr>
        <w:trPr>
          <w:trHeight w:val="633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28" w:right="9" w:firstLine="41"/>
              <w:spacing w:before="40" w:line="224" w:lineRule="auto"/>
              <w:rPr/>
            </w:pPr>
            <w:r>
              <w:rPr>
                <w:spacing w:val="-3"/>
              </w:rPr>
              <w:t>柴油消耗</w:t>
            </w:r>
            <w:r>
              <w:rPr/>
              <w:t xml:space="preserve">  </w:t>
            </w:r>
            <w:r>
              <w:rPr>
                <w:spacing w:val="-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t</w:t>
            </w:r>
            <w:r>
              <w:rPr>
                <w:spacing w:val="-21"/>
              </w:rPr>
              <w:t>、能源）</w:t>
            </w:r>
          </w:p>
        </w:tc>
        <w:tc>
          <w:tcPr>
            <w:tcW w:w="1545" w:type="dxa"/>
            <w:vAlign w:val="top"/>
          </w:tcPr>
          <w:p>
            <w:pPr>
              <w:ind w:left="539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5204</w:t>
            </w:r>
          </w:p>
        </w:tc>
        <w:tc>
          <w:tcPr>
            <w:tcW w:w="1601" w:type="dxa"/>
            <w:vAlign w:val="top"/>
          </w:tcPr>
          <w:p>
            <w:pPr>
              <w:ind w:left="763"/>
              <w:spacing w:before="23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27" w:type="dxa"/>
            <w:vAlign w:val="top"/>
          </w:tcPr>
          <w:p>
            <w:pPr>
              <w:ind w:left="578"/>
              <w:spacing w:before="23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3" w:type="dxa"/>
            <w:vAlign w:val="top"/>
          </w:tcPr>
          <w:p>
            <w:pPr>
              <w:ind w:left="214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16367.853</w:t>
            </w:r>
          </w:p>
        </w:tc>
        <w:tc>
          <w:tcPr>
            <w:tcW w:w="1471" w:type="dxa"/>
            <w:vAlign w:val="top"/>
          </w:tcPr>
          <w:p>
            <w:pPr>
              <w:ind w:left="471"/>
              <w:spacing w:before="23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3.648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spacing w:before="108" w:line="219" w:lineRule="auto"/>
              <w:jc w:val="right"/>
              <w:rPr/>
            </w:pPr>
            <w:r>
              <w:rPr>
                <w:spacing w:val="-18"/>
              </w:rPr>
              <w:t>机制砂（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t</w:t>
            </w:r>
            <w:r>
              <w:rPr>
                <w:spacing w:val="-18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329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65470.65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21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808.563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0.180</w:t>
            </w:r>
          </w:p>
        </w:tc>
      </w:tr>
      <w:tr>
        <w:trPr>
          <w:trHeight w:val="458" w:hRule="atLeast"/>
        </w:trPr>
        <w:tc>
          <w:tcPr>
            <w:tcW w:w="1289" w:type="dxa"/>
            <w:vAlign w:val="top"/>
          </w:tcPr>
          <w:p>
            <w:pPr>
              <w:pStyle w:val="TableText"/>
              <w:spacing w:before="108" w:line="220" w:lineRule="auto"/>
              <w:jc w:val="right"/>
              <w:rPr/>
            </w:pPr>
            <w:r>
              <w:rPr>
                <w:spacing w:val="-19"/>
              </w:rPr>
              <w:t>土石料（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t</w:t>
            </w:r>
            <w:r>
              <w:rPr>
                <w:spacing w:val="-19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435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156506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274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1932.849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0.431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spacing w:before="108" w:line="220" w:lineRule="auto"/>
              <w:jc w:val="right"/>
              <w:rPr/>
            </w:pPr>
            <w:r>
              <w:rPr>
                <w:spacing w:val="-19"/>
              </w:rPr>
              <w:t>护坡石（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t</w:t>
            </w:r>
            <w:r>
              <w:rPr>
                <w:spacing w:val="-19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226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1072353.18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214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13243.562</w:t>
            </w:r>
          </w:p>
        </w:tc>
        <w:tc>
          <w:tcPr>
            <w:tcW w:w="1471" w:type="dxa"/>
            <w:vAlign w:val="top"/>
          </w:tcPr>
          <w:p>
            <w:pPr>
              <w:ind w:left="466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2.952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spacing w:before="110" w:line="219" w:lineRule="auto"/>
              <w:jc w:val="right"/>
              <w:rPr/>
            </w:pPr>
            <w:r>
              <w:rPr>
                <w:spacing w:val="-19"/>
              </w:rPr>
              <w:t>筛分土（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t</w:t>
            </w:r>
            <w:r>
              <w:rPr>
                <w:spacing w:val="-19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597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901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97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11.127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0.002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37"/>
              <w:spacing w:before="110" w:line="219" w:lineRule="auto"/>
              <w:rPr/>
            </w:pPr>
            <w:r>
              <w:rPr>
                <w:spacing w:val="-2"/>
              </w:rPr>
              <w:t>碎石（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spacing w:val="-2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267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735299.94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256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9080.954</w:t>
            </w:r>
          </w:p>
        </w:tc>
        <w:tc>
          <w:tcPr>
            <w:tcW w:w="1471" w:type="dxa"/>
            <w:vAlign w:val="top"/>
          </w:tcPr>
          <w:p>
            <w:pPr>
              <w:ind w:left="466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2.024</w:t>
            </w:r>
          </w:p>
        </w:tc>
      </w:tr>
      <w:tr>
        <w:trPr>
          <w:trHeight w:val="628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71"/>
              <w:spacing w:before="38" w:line="219" w:lineRule="auto"/>
              <w:rPr/>
            </w:pPr>
            <w:r>
              <w:rPr>
                <w:spacing w:val="-3"/>
              </w:rPr>
              <w:t>无机骨料</w:t>
            </w:r>
          </w:p>
          <w:p>
            <w:pPr>
              <w:pStyle w:val="TableText"/>
              <w:ind w:left="390"/>
              <w:spacing w:before="28" w:line="205" w:lineRule="auto"/>
              <w:rPr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</w:t>
            </w:r>
            <w:r>
              <w:rPr>
                <w:spacing w:val="-7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346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15294.00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34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188.881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0.042</w:t>
            </w:r>
          </w:p>
        </w:tc>
      </w:tr>
      <w:tr>
        <w:trPr>
          <w:trHeight w:val="628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258" w:right="163" w:hanging="77"/>
              <w:spacing w:before="40" w:line="222" w:lineRule="auto"/>
              <w:rPr/>
            </w:pPr>
            <w:r>
              <w:rPr>
                <w:spacing w:val="-6"/>
              </w:rPr>
              <w:t>玄武岩废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渣（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</w:t>
            </w:r>
            <w:r>
              <w:rPr>
                <w:spacing w:val="-3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539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5000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76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61.750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23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0.014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spacing w:before="113" w:line="221" w:lineRule="auto"/>
              <w:jc w:val="right"/>
              <w:rPr/>
            </w:pPr>
            <w:r>
              <w:rPr>
                <w:spacing w:val="-19"/>
              </w:rPr>
              <w:t>级配石（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t</w:t>
            </w:r>
            <w:r>
              <w:rPr>
                <w:spacing w:val="-19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351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4915790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196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60710.007</w:t>
            </w:r>
          </w:p>
        </w:tc>
        <w:tc>
          <w:tcPr>
            <w:tcW w:w="1471" w:type="dxa"/>
            <w:vAlign w:val="top"/>
          </w:tcPr>
          <w:p>
            <w:pPr>
              <w:ind w:left="429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13.530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39"/>
              <w:spacing w:before="111" w:line="222" w:lineRule="auto"/>
              <w:rPr/>
            </w:pPr>
            <w:r>
              <w:rPr>
                <w:spacing w:val="-3"/>
              </w:rPr>
              <w:t>毛石（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</w:t>
            </w:r>
            <w:r>
              <w:rPr>
                <w:spacing w:val="-3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471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47188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18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582.772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0.130</w:t>
            </w:r>
          </w:p>
        </w:tc>
      </w:tr>
      <w:tr>
        <w:trPr>
          <w:trHeight w:val="459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37"/>
              <w:spacing w:before="111" w:line="222" w:lineRule="auto"/>
              <w:rPr/>
            </w:pPr>
            <w:r>
              <w:rPr>
                <w:spacing w:val="-2"/>
              </w:rPr>
              <w:t>砂石（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spacing w:val="-2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ind w:left="536"/>
              <w:spacing w:before="15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7577</w:t>
            </w:r>
          </w:p>
        </w:tc>
        <w:tc>
          <w:tcPr>
            <w:tcW w:w="1601" w:type="dxa"/>
            <w:vAlign w:val="top"/>
          </w:tcPr>
          <w:p>
            <w:pPr>
              <w:ind w:left="416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0.01235</w:t>
            </w:r>
          </w:p>
        </w:tc>
        <w:tc>
          <w:tcPr>
            <w:tcW w:w="1227" w:type="dxa"/>
            <w:vAlign w:val="top"/>
          </w:tcPr>
          <w:p>
            <w:pPr>
              <w:ind w:left="580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376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93.576</w:t>
            </w:r>
          </w:p>
        </w:tc>
        <w:tc>
          <w:tcPr>
            <w:tcW w:w="1471" w:type="dxa"/>
            <w:vAlign w:val="top"/>
          </w:tcPr>
          <w:p>
            <w:pPr>
              <w:ind w:left="470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0.021</w:t>
            </w:r>
          </w:p>
        </w:tc>
      </w:tr>
      <w:tr>
        <w:trPr>
          <w:trHeight w:val="940" w:hRule="atLeast"/>
        </w:trPr>
        <w:tc>
          <w:tcPr>
            <w:tcW w:w="1289" w:type="dxa"/>
            <w:vAlign w:val="top"/>
          </w:tcPr>
          <w:p>
            <w:pPr>
              <w:pStyle w:val="TableText"/>
              <w:ind w:left="172"/>
              <w:spacing w:before="39" w:line="219" w:lineRule="auto"/>
              <w:rPr/>
            </w:pPr>
            <w:r>
              <w:rPr>
                <w:spacing w:val="-4"/>
              </w:rPr>
              <w:t>大型货运</w:t>
            </w:r>
          </w:p>
          <w:p>
            <w:pPr>
              <w:pStyle w:val="TableText"/>
              <w:ind w:left="169"/>
              <w:spacing w:before="28" w:line="219" w:lineRule="auto"/>
              <w:rPr/>
            </w:pPr>
            <w:r>
              <w:rPr>
                <w:spacing w:val="-3"/>
              </w:rPr>
              <w:t>运输耗油</w:t>
            </w:r>
          </w:p>
          <w:p>
            <w:pPr>
              <w:pStyle w:val="TableText"/>
              <w:ind w:left="349"/>
              <w:spacing w:before="27" w:line="204" w:lineRule="auto"/>
              <w:rPr/>
            </w:pP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L</w:t>
            </w:r>
            <w:r>
              <w:rPr>
                <w:spacing w:val="-8"/>
              </w:rPr>
              <w:t>）</w:t>
            </w:r>
          </w:p>
        </w:tc>
        <w:tc>
          <w:tcPr>
            <w:tcW w:w="154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25000</w:t>
            </w:r>
          </w:p>
        </w:tc>
        <w:tc>
          <w:tcPr>
            <w:tcW w:w="16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0.0266</w:t>
            </w:r>
          </w:p>
        </w:tc>
        <w:tc>
          <w:tcPr>
            <w:tcW w:w="122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58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665.00</w:t>
            </w:r>
          </w:p>
        </w:tc>
        <w:tc>
          <w:tcPr>
            <w:tcW w:w="147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0.148</w:t>
            </w:r>
          </w:p>
        </w:tc>
      </w:tr>
      <w:tr>
        <w:trPr>
          <w:trHeight w:val="463" w:hRule="atLeast"/>
        </w:trPr>
        <w:tc>
          <w:tcPr>
            <w:tcW w:w="5662" w:type="dxa"/>
            <w:vAlign w:val="top"/>
            <w:gridSpan w:val="4"/>
          </w:tcPr>
          <w:p>
            <w:pPr>
              <w:pStyle w:val="TableText"/>
              <w:ind w:left="2236"/>
              <w:spacing w:before="113" w:line="220" w:lineRule="auto"/>
              <w:rPr/>
            </w:pPr>
            <w:r>
              <w:rPr>
                <w:b/>
                <w:bCs/>
                <w:spacing w:val="-4"/>
              </w:rPr>
              <w:t>碳足迹合计</w:t>
            </w:r>
          </w:p>
        </w:tc>
        <w:tc>
          <w:tcPr>
            <w:tcW w:w="1393" w:type="dxa"/>
            <w:vAlign w:val="top"/>
          </w:tcPr>
          <w:p>
            <w:pPr>
              <w:ind w:left="154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106015.687</w:t>
            </w:r>
          </w:p>
        </w:tc>
        <w:tc>
          <w:tcPr>
            <w:tcW w:w="1471" w:type="dxa"/>
            <w:vAlign w:val="top"/>
          </w:tcPr>
          <w:p>
            <w:pPr>
              <w:ind w:left="406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23.628</w:t>
            </w:r>
          </w:p>
        </w:tc>
      </w:tr>
    </w:tbl>
    <w:p>
      <w:pPr>
        <w:pStyle w:val="BodyText"/>
        <w:ind w:left="685"/>
        <w:spacing w:before="170" w:line="213" w:lineRule="auto"/>
        <w:rPr/>
      </w:pPr>
      <w:r>
        <w:rPr/>
        <w:t>经计算，</w:t>
      </w:r>
      <w:r>
        <w:rPr>
          <w:rFonts w:ascii="Times New Roman" w:hAnsi="Times New Roman" w:eastAsia="Times New Roman" w:cs="Times New Roman"/>
        </w:rPr>
        <w:t>1m</w:t>
      </w:r>
      <w:r>
        <w:rPr>
          <w:rFonts w:ascii="Times New Roman" w:hAnsi="Times New Roman" w:eastAsia="Times New Roman" w:cs="Times New Roman"/>
          <w:sz w:val="18"/>
          <w:szCs w:val="18"/>
          <w:position w:val="9"/>
        </w:rPr>
        <w:t>3 </w:t>
      </w:r>
      <w:r>
        <w:rPr/>
        <w:t>机制砂、碎石产品的碳足</w:t>
      </w:r>
      <w:r>
        <w:rPr>
          <w:spacing w:val="-1"/>
        </w:rPr>
        <w:t>迹为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23.628kgCO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</w:t>
      </w:r>
      <w:r>
        <w:rPr>
          <w:rFonts w:ascii="Times New Roman" w:hAnsi="Times New Roman" w:eastAsia="Times New Roman" w:cs="Times New Roman"/>
          <w:spacing w:val="-1"/>
        </w:rPr>
        <w:t>eq</w:t>
      </w:r>
      <w:r>
        <w:rPr>
          <w:spacing w:val="-1"/>
        </w:rPr>
        <w:t>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23"/>
        <w:spacing w:before="101" w:line="225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5.</w:t>
      </w:r>
      <w:r>
        <w:rPr>
          <w:sz w:val="31"/>
          <w:szCs w:val="31"/>
          <w:b/>
          <w:bCs/>
          <w:spacing w:val="4"/>
        </w:rPr>
        <w:t>结论与建议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28" w:right="112" w:firstLine="554"/>
        <w:spacing w:before="91" w:line="398" w:lineRule="auto"/>
        <w:rPr/>
      </w:pPr>
      <w:r>
        <w:rPr>
          <w:spacing w:val="-4"/>
        </w:rPr>
        <w:t>通过以上分析可知，为增强品牌竞争力、减少产品碳足迹，建议</w:t>
      </w:r>
      <w:r>
        <w:rPr>
          <w:spacing w:val="7"/>
        </w:rPr>
        <w:t xml:space="preserve"> </w:t>
      </w:r>
      <w:r>
        <w:rPr>
          <w:spacing w:val="-5"/>
        </w:rPr>
        <w:t>如下：</w:t>
      </w:r>
    </w:p>
    <w:p>
      <w:pPr>
        <w:pStyle w:val="BodyText"/>
        <w:ind w:left="126" w:right="112" w:firstLine="578"/>
        <w:spacing w:before="38" w:line="316" w:lineRule="auto"/>
        <w:rPr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、优化用能结构，使用清洁低碳的新能源、再生能源替换不可</w:t>
      </w:r>
      <w:r>
        <w:rPr/>
        <w:t xml:space="preserve"> </w:t>
      </w:r>
      <w:r>
        <w:rPr>
          <w:spacing w:val="-1"/>
        </w:rPr>
        <w:t>再生能源，不断提高可再生能源使用比例。</w:t>
      </w:r>
    </w:p>
    <w:p>
      <w:pPr>
        <w:pStyle w:val="BodyText"/>
        <w:ind w:left="146" w:right="112" w:firstLine="531"/>
        <w:spacing w:before="291" w:line="315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/>
        <w:t>、在原材料价位差别不大的情况下，尽量选取原材料碳足迹小 </w:t>
      </w:r>
      <w:r>
        <w:rPr>
          <w:spacing w:val="-7"/>
        </w:rPr>
        <w:t>的供应商。</w:t>
      </w:r>
    </w:p>
    <w:p>
      <w:pPr>
        <w:spacing w:line="315" w:lineRule="auto"/>
        <w:sectPr>
          <w:footerReference w:type="default" r:id="rId16"/>
          <w:pgSz w:w="11906" w:h="16839"/>
          <w:pgMar w:top="400" w:right="1687" w:bottom="1176" w:left="1687" w:header="0" w:footer="989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101" w:line="226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6.</w:t>
      </w:r>
      <w:r>
        <w:rPr>
          <w:sz w:val="31"/>
          <w:szCs w:val="31"/>
          <w:b/>
          <w:bCs/>
          <w:spacing w:val="2"/>
        </w:rPr>
        <w:t>结语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23" w:right="13" w:firstLine="559"/>
        <w:spacing w:before="91" w:line="405" w:lineRule="auto"/>
        <w:jc w:val="both"/>
        <w:rPr/>
      </w:pPr>
      <w:r>
        <w:rPr>
          <w:spacing w:val="-4"/>
        </w:rPr>
        <w:t>低碳发展是企业未来生存和发展的必然选择，企业进行产品碳足</w:t>
      </w:r>
      <w:r>
        <w:rPr>
          <w:spacing w:val="8"/>
        </w:rPr>
        <w:t xml:space="preserve"> </w:t>
      </w:r>
      <w:r>
        <w:rPr>
          <w:spacing w:val="-4"/>
        </w:rPr>
        <w:t>迹的核算是企业实现温室气体管理，制定低碳发展战略的第一步。通</w:t>
      </w:r>
      <w:r>
        <w:rPr>
          <w:spacing w:val="15"/>
        </w:rPr>
        <w:t xml:space="preserve"> </w:t>
      </w:r>
      <w:r>
        <w:rPr>
          <w:spacing w:val="-4"/>
        </w:rPr>
        <w:t>过产品生命周期的碳足迹核算，企业可以了解排放源，明确各生产环</w:t>
      </w:r>
      <w:r>
        <w:rPr>
          <w:spacing w:val="15"/>
        </w:rPr>
        <w:t xml:space="preserve"> </w:t>
      </w:r>
      <w:r>
        <w:rPr>
          <w:spacing w:val="-1"/>
        </w:rPr>
        <w:t>节的排放量，为制定合理的减排目标和发展战略打下基础。</w:t>
      </w:r>
    </w:p>
    <w:sectPr>
      <w:footerReference w:type="default" r:id="rId17"/>
      <w:pgSz w:w="11906" w:h="16839"/>
      <w:pgMar w:top="400" w:right="1785" w:bottom="1176" w:left="1785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8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4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8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10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5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4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1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1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8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image" Target="media/image2.jpe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1.jpeg"/><Relationship Id="rId20" Type="http://schemas.openxmlformats.org/officeDocument/2006/relationships/fontTable" Target="fontTable.xml"/><Relationship Id="rId2" Type="http://schemas.openxmlformats.org/officeDocument/2006/relationships/footer" Target="footer1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image" Target="media/image4.jpeg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image" Target="media/image3.jpeg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2025-05-03T17:53:44Z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2025-05-06T11:09:45</vt:filetime>
  </property>
</Properties>
</file>